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ccf78f8fb96473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רמלה – גיורא),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רמלה – גיורא),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3(א)(3) לחוק לקידום הבנייה במתחמים מועדפים (הוראת שעה), התשע"ד-2014 (להלן – החוק), ובהמלצת מנהל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רמלה – גיורא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כ-160 דונם, מיקומו בתחום מחוז המרכז; המתחם מצוי בתחום השיפוט של העיר רמלה, ממערב לרח' עמיחי, ממזרח לרח' חטיבת גבעתי, מצפון לרח' צה"ל, מדרום לרח' משה דיין.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המרכז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eefc86c6c810462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 יושבת ראש ועדתשרים לענייני פנים, שירותים,תכנון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רמלה – גיורא),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0dbc3b19bf347f8" /><Relationship Type="http://schemas.openxmlformats.org/officeDocument/2006/relationships/hyperlink" Target="https://www.nevo.co.il/laws/#/638f1df4608d3fa98ade8310/clause/638f2278608d3fa98ade8352" TargetMode="External" Id="Reefc86c6c8104624" /><Relationship Type="http://schemas.openxmlformats.org/officeDocument/2006/relationships/header" Target="/word/header1.xml" Id="r97" /><Relationship Type="http://schemas.openxmlformats.org/officeDocument/2006/relationships/footer" Target="/word/footer1.xml" Id="r98" /></Relationships>
</file>