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3c5cc7ad6404c3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שיפוט בעניני התרת נישואין (מקרים מיוחדים וסמכות בין-לאומית) (הסמכת בתי משפט לעניני משפחה), תשס"ו-2005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צו שיפוט בעניני התרת נישואין (מקרים מיוחדים וסמכות בין-לאומית) (הסמכת בתי משפט לעניני משפחה), תשס"ו-2005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7(ב) לחוק שיפוט בעניני התרת נישואין (מקרים מיוחדים וסמכות בין-לאומית), התשכ"ט-1969 (להלן – החוק),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הסמכה</w:t>
                </w:r>
              </w:p>
            </w:txbxContent>
          </v:textbox>
        </v:rect>
      </w:pict>
      <w:r>
        <w:rPr>
          <w:lang w:bidi="he-IL"/>
          <w:rFonts w:hint="cs" w:cs="FrankRuehl"/>
          <w:szCs w:val="34"/>
          <w:rtl/>
        </w:rPr>
        <w:t xml:space="preserve">1.</w:t>
      </w:r>
      <w:r>
        <w:rPr>
          <w:lang w:bidi="he-IL"/>
          <w:rFonts w:hint="cs" w:cs="FrankRuehl"/>
          <w:szCs w:val="26"/>
          <w:rtl/>
        </w:rPr>
        <w:tab/>
        <w:t xml:space="preserve">בתי המשפט לעניני משפחה באילת, אשדוד, באר שבע, חדרה, חיפה, טבריה, ירושלים, כפר סבא, נצרת, קריות, קרית גת, קרית שמונה, ראשון לציון ורמת גן מוסמכים לדון בעניני התרת נישואין לפי החוק.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תחילתו של צו זה ביום התחילה כהגדרתו בסעיף 3(א) לחוק שיפוט בעניני התרת נישואין (מקרים מיוחדים וסמכות בין-לאומית) (תיקוני חקיקה), התשס"ה-2005.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שיפוט בעניני התרת נישואין (מקרים מיוחדים וסמכות בין-לאומית) (הסמכת בתי משפט לעניני משפחה), תשס"ו-2005, נוסח עדכני נכון ליום 15.03.2023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8e273d2e83f43e5" /><Relationship Type="http://schemas.openxmlformats.org/officeDocument/2006/relationships/header" Target="/word/header1.xml" Id="r97" /><Relationship Type="http://schemas.openxmlformats.org/officeDocument/2006/relationships/footer" Target="/word/footer1.xml" Id="r98" /></Relationships>
</file>