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f676fbc4c0487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אימוץ ילדים (כללי פרסום), תשנ"ח-1998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פרסום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אימוץ ילדים (כללי פרסום), תשנ"ח-1998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28לב לחוק אימוץ ילדים, התשמ"א-1981 (להלן – החוק), ובאישור ועדת החוקה חוק ומשפט של הכנסת לפי סעיף 48(א) לחוק-יסוד: הממשלה, וסעיף 2(ב) לחוק העונשין, התשל"ז-1977, אנו מתקינים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פרסום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עמותה מוכרת לא תפרסם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תמונות של ילדים המוצגים כמועמדים לאימוץ, בין אם הם מועמדים לאימוץ בפועל ובין אם לאו;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שמות של ילדים המועמדים לאימוץ או כל פרט אחר שעלול להביא לזיהוים.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ג' בטבת התשנ"ח (1 בינואר 1998).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ישי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אימוץ ילדים (כללי פרסום), תשנ"ח-1998,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67741036e77402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