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ea50b9e17241c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הלבנת הון (כללים להודעה למשטרה ופרטיה בדבר העברת מידע מן הרשות המוסמכת לפקיד מכס חוקר), תשע"ז-2017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דרכי העברת ההודעה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פרטי ההודעה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איסור הלבנת הון (כללים להודעה למשטרה ופרטיה בדבר העברת מידע מן הרשות המוסמכת לפקיד מכס חוקר), תשע"ז-2017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30(ב1)(4) ו-(ה)(2) ו-32(א)(1) לחוק איסור הלבנת הון, התש"ס-2000 (להלן – החוק), בהסכמת השר לביטחון הפנים ובהתייעצות עמו, ובאישור ועדת חוקה חוק ומשפט של הכנסת לפי סעיף 32(ג) לחוק,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"הרשות המוסמכת" – הרשות המוסמכת לפי סעיף 29(א)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"מאגר מידע" – מאגר המידע שהוקם לפי סעיף 28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"מידע" – כל נתון שהתקבל במאגר המידע לפי הוראות החוק וכן כל עיבוד שלו.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דרכי העברת ההודעה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הרשות המוסמכת תמסור למשטרת ישראל הודעה לפי סעיף 30(ב1)(4) או (ה)(2) לחוק באמצעות תקשורת ברשת פרטית (VPN – virtual private network), ובהעדרה – במסירה ידנית, לבעל תפקיד שרשאי לפי סעיף 30(ב) לחוק לקבל מידע מהרשות המוסמכת.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פרטי ההודעה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הודעה כאמור בתקנה 2 תיערך לפי הטופס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הודעה כאמור בתקנה 2 תימסר עם העברת מידע לפקיד מכס חוקר לפי סעיף 30(ב1)(4) ו-30(ה)(2) לחוק, או מוקדם ככל האפשר בנסיבות העניין.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3)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a4e850a4c38f4113">
        <w:r>
          <w:rPr>
            <w:rStyle w:val="Hyperlink"/>
            <w:u w:val="single"/>
            <w:color w:themeColor="hyperlink"/>
          </w:rPr>
          <w:t>טופס הודעה למשטרה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איסור הלבנת הון (כללים להודעה למשטרה ופרטיה בדבר העברת מידע מן הרשות המוסמכת לפקיד מכס חוקר), תשע"ז-2017,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e847087a8534585" /><Relationship Type="http://schemas.openxmlformats.org/officeDocument/2006/relationships/hyperlink" Target="https://www.nevo.co.il/lawattachments/619f5f52c4aec3e93fc95fb3/68443987-75b2-46ed-848f-04cb1c05a930.doc" TargetMode="External" Id="Ra4e850a4c38f411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