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e8eef423584424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איסור הלבנת הון (כללים לשימוש במידע שהועבר לחוקר ניירות ערך לשם חקירת עבירות נוספות ולהעברתו לרשות אחרת),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גורם מוסמך</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במידע והעברתו לצורך חקירה ומניעה של עבירות נוספות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מידע לצורך המטרות העיקריות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תיעוד החלטות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מגבלה על העברת מידע ושימוש במידע</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העבירות הנוספות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א':רשויות שניתן להעביר אליהן מידע לפי תקנה 3 לצורך חקירת עבירות נוספות ומניעתן או גילוי עבריינים בעבירות נוספות והעמדתם לדין</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ב':רשויות שניתן להעביר אליהן מידע לפי תקנה 4 לצורך המטרות העיקריות</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bl>
        <w:br w:type="page"/>
      </w:r>
    </w:p>
    <w:p>
      <w:pPr>
        <w:bidi/>
        <w:spacing w:before="45" w:after="70" w:line="250" w:lineRule="auto"/>
        <w:jc w:val="center"/>
      </w:pPr>
      <w:defaultTabStop w:val="720"/>
      <w:r>
        <w:rPr>
          <w:lang w:bidi="he-IL"/>
          <w:rFonts w:hint="cs" w:cs="FrankRuehl"/>
          <w:szCs w:val="32"/>
          <w:rtl/>
        </w:rPr>
        <w:t xml:space="preserve">תקנות איסור הלבנת הון (כללים לשימוש במידע שהועבר לחוקר ניירות ערך לשם חקירת עבירות נוספות ולהעברתו לרשות אחרת),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30(ז2) ו-(ט) ו-32(א) ו-(ג) לחוק איסור הלבנת הון, התש"ס-2000 (להלן – החוק), בהתייעצות עם השר לביטחון הפנים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"גורם מוסמך" – מנהל מחלקת חקירות, מודיעין, בקרת מסחר ברשות ניירות ערך או חוקר בכיר שהוא הסמיך לכך;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הרשות לאיסור הלבנת הון ומימון טרור;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"חוקר בכיר" – כהגדרתו בחוק ניירות ערך;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"חוקר ניירות ערך" – כהגדרתו בסעיף 30(י)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"יחידה במלמ"ב" – יחידה באגף הממונה על הביטחון במערכת הביטחון, שקבע שר הביטחון בצו לפי סעיף 30(ג1)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 מידע" – מאגר המידע שהוקם לפי סעיף 28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"מטרה עיקרית" – כל אחת מהמטרות המפורטות בתקנה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 כל נתון שהתקבל במאגר המידע לפי החוק, וכן כל עיבוד שלו;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"עבירת מקור" – כמשמעותה בסעיף 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"עבירה נוספת" – כל אחת מהעבירות המפורטות בתקנה 7.</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גורם מוסמך</w:t>
                </w:r>
              </w:p>
            </w:txbxContent>
          </v:textbox>
        </v:rect>
      </w:pict>
      <w:r>
        <w:rPr>
          <w:lang w:bidi="he-IL"/>
          <w:rFonts w:hint="cs" w:cs="FrankRuehl"/>
          <w:szCs w:val="34"/>
          <w:rtl/>
        </w:rPr>
        <w:t xml:space="preserve">2.</w:t>
      </w:r>
      <w:r>
        <w:rPr>
          <w:lang w:bidi="he-IL"/>
          <w:rFonts w:hint="cs" w:cs="FrankRuehl"/>
          <w:szCs w:val="26"/>
          <w:rtl/>
        </w:rPr>
        <w:tab/>
        <w:t xml:space="preserve">גורם מוסמך רשאי להחליט, במקרה מסוים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על שימוש במידע שהתקבל מהרשות לפי סעיף 30(ב3) לחוק, לשם חקירת עבירות נוספות ומניעתן או לשם גילוי עבריינים בעבירות האמורות והעמדתם לדין כמפורט בתקנה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העברת מידע לגורם מחוץ לרשות ניירות ערך לפי סעיף 30(ח) לחוק וכמפורט בתקנות 3 ו-4, לפי העניין.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במידע והעברתו לצורך חקירה ומניעה של עבירות נוספות</w:t>
                </w:r>
              </w:p>
            </w:txbxContent>
          </v:textbox>
        </v:rect>
      </w:pict>
      <w:r>
        <w:rPr>
          <w:lang w:bidi="he-IL"/>
          <w:rFonts w:hint="cs" w:cs="FrankRuehl"/>
          <w:szCs w:val="34"/>
          <w:rtl/>
        </w:rPr>
        <w:t xml:space="preserve">3.</w:t>
      </w:r>
      <w:r>
        <w:rPr>
          <w:lang w:bidi="he-IL"/>
          <w:rFonts w:hint="cs" w:cs="FrankRuehl"/>
          <w:szCs w:val="26"/>
          <w:rtl/>
        </w:rPr>
        <w:tab/>
        <w:t xml:space="preserve">מצא גורם מוסמך כי יש יסוד סביר להניח שבמידע שהתקבל מהרשות לפי סעיף 30(ב3) לחוק יש כדי לקדם באופן ממשי, במקרה מסוים, חקירת עבירות נוספות ומניעתן או גילוי עבריינים בעבירות נוספות והעמדתם לדין, רשאי הוא להתיר את השימוש במידע לצורך זה, לרבות העברתו לשם כך, אם מצא שיש בכך צורך, לגורם אחר ברשות ניירות ערך או לגורם מחוץ לרשות ניירות ערך הקבוע בחלק א' לתוספת הראשונה, המוסמך לבצע את החקירה בעניין אותה עבירה.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מידע לצורך המטרות העיקריות</w:t>
                </w:r>
              </w:p>
            </w:txbxContent>
          </v:textbox>
        </v:rect>
      </w:pict>
      <w:r>
        <w:rPr>
          <w:lang w:bidi="he-IL"/>
          <w:rFonts w:hint="cs" w:cs="FrankRuehl"/>
          <w:szCs w:val="34"/>
          <w:rtl/>
        </w:rPr>
        <w:t xml:space="preserve">4.</w:t>
      </w:r>
      <w:r>
        <w:rPr>
          <w:lang w:bidi="he-IL"/>
          <w:rFonts w:hint="cs" w:cs="FrankRuehl"/>
          <w:szCs w:val="26"/>
          <w:rtl/>
        </w:rPr>
        <w:tab/>
        <w:t xml:space="preserve">מצא גורם מוסמך כי לשם ביצועו של החוק או של חוק המאבק בטרור, פקודת המסחר עם האויב, חוק למניעת הפצה ומימון של נשק להשמדה המונית וסימן א' בפרק ב' לחוק המאבק בתוכנית הגרעין של איראן, לשם הגנה על ביטחון המדינה או לשם המלחמה בארגוני טרור, בארגוני טרור מוכרזים ובמעשי טרור, יש להעביר מידע שהתקבל לפי החוק מהרשות לגורם בישראל, המוסמך לפעול למען המטרות האמורות, כקבוע בחלק ב' של התוספת הראשונה, רשאי הוא להחליט על העברת המידע כאמור.</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תיעוד החלטות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הגורם המוסמך יתעד את החלטותיו כאמור בתקנות 3 ו-4 לפי הטפסים שבתוספת השנייה או השלישית,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הגורם המוסמך ינהל רישום מרוכז של החלטות כאמור בתקנת משנה (א), ובו יצוינו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מועד מתן ההחלטה;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העבירה הנוספת שלשם חקירתה או מניעתה נעשה שימוש במידע לפי תקנה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תמצית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היחידה או הגוף שאליו הועבר המידע לפי סעיף 30(ח) לחוק, אם הועבר, והחוק שלשם ביצועו הועבר המידע.</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מגבלה על העברת מידע ושימוש במידע</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לא יועבר מידע שהועבר ממאגר המידע לחוקר ניירות ערך, לגורם בישראל מחוץ לרשות ניירות ערך, ולא ייעשה במידע שהועבר ממאגר המידע לרשות ניירות ערך שימוש לחקירת עבירות נוספות ומניעתן או לגילוי עבריינים בעבירות נוספות והעמדתם לדין, אלא לפי תקנות אלה או אם נקבע אחרת בהוראת חוק מפורשת.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באמור בתקנת משנה (א) כדי למנוע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מרשות ניירות ערך למסור מידע לצורך קבלת חוות דעת של מומחה, אם הדבר דרוש לצורך החקירה, או לשתף רשות הממונה על חקירת עבירת המקור בחקירת עבירה לפי החוק;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מרשות ניירות ערך או מגורם שהועבר לו מידע לפי תקנה 3 או 4, להעביר מידע לגורם המוסמך לצורך העמדה לדין וניהול הליך משפטי.</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העבירות הנוספות</w:t>
                </w:r>
              </w:p>
            </w:txbxContent>
          </v:textbox>
        </v:rect>
      </w:pict>
      <w:r>
        <w:rPr>
          <w:lang w:bidi="he-IL"/>
          <w:rFonts w:hint="cs" w:cs="FrankRuehl"/>
          <w:szCs w:val="34"/>
          <w:rtl/>
        </w:rPr>
        <w:t xml:space="preserve">7.</w:t>
      </w:r>
      <w:r>
        <w:rPr>
          <w:lang w:bidi="he-IL"/>
          <w:rFonts w:hint="cs" w:cs="FrankRuehl"/>
          <w:szCs w:val="26"/>
          <w:rtl/>
        </w:rPr>
        <w:tab/>
        <w:t xml:space="preserve">העבירות הנוספות הן אלה, ובלבד שהעבירה הנוספת קשורה לחקירת העבירה שלגביה התבקש המידע כאמור בסעיף 30(ז2)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עבירה שהעונש הקבוע לה הוא חמש שנות מאסר לפחות לפי כל אחד מהחוקים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חוק מאבק בארגוני פשיעה, התשס"ג-2003;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פקודת הסמים המסוכנים;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תקנות ההגנה (שעת חירום), 1945;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חוק למניעת הסתננות (עבירות ושיפוט), התשי"ד-1954;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חוק השיפוט הצבאי, התשט"ו-1955;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חוק ניירות ערך;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פקודת מס הכנסה;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(ט)</w:t>
      </w:r>
      <w:r>
        <w:rPr>
          <w:lang w:bidi="he-IL"/>
          <w:rFonts w:hint="cs" w:cs="FrankRuehl"/>
          <w:szCs w:val="26"/>
          <w:rtl/>
        </w:rPr>
        <w:tab/>
        <w:t xml:space="preserve">חוק מיסוי מקרקעין (שבח ורכישה), התשכ"ג-1963;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w:t>
      </w:r>
      <w:r>
        <w:rPr>
          <w:lang w:bidi="he-IL"/>
          <w:rFonts w:hint="cs" w:cs="FrankRuehl"/>
          <w:szCs w:val="26"/>
          <w:rtl/>
        </w:rPr>
        <w:tab/>
        <w:t xml:space="preserve">חוק מס ערך מוסף;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(יא)</w:t>
      </w:r>
      <w:r>
        <w:rPr>
          <w:lang w:bidi="he-IL"/>
          <w:rFonts w:hint="cs" w:cs="FrankRuehl"/>
          <w:szCs w:val="26"/>
          <w:rtl/>
        </w:rPr>
        <w:tab/>
        <w:t xml:space="preserve">פקודת המכס;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(יב)</w:t>
      </w:r>
      <w:r>
        <w:rPr>
          <w:lang w:bidi="he-IL"/>
          <w:rFonts w:hint="cs" w:cs="FrankRuehl"/>
          <w:szCs w:val="26"/>
          <w:rtl/>
        </w:rPr>
        <w:tab/>
        <w:t xml:space="preserve">חוק השקעות משותפות בנאמנות, התשנ"ד-1994;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(יג)</w:t>
      </w:r>
      <w:r>
        <w:rPr>
          <w:lang w:bidi="he-IL"/>
          <w:rFonts w:hint="cs" w:cs="FrankRuehl"/>
          <w:szCs w:val="26"/>
          <w:rtl/>
        </w:rPr>
        <w:tab/>
        <w:t xml:space="preserve">חוק הבנקאות (רישוי), התשמ"א-1981;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(יד)</w:t>
      </w:r>
      <w:r>
        <w:rPr>
          <w:lang w:bidi="he-IL"/>
          <w:rFonts w:hint="cs" w:cs="FrankRuehl"/>
          <w:szCs w:val="26"/>
          <w:rtl/>
        </w:rPr>
        <w:tab/>
        <w:t xml:space="preserve">חוק ההגבלים העסקיים, התשמ"ח-1988;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עבירת מקור, שאינה מפורטת בפסקה (1), אשר העונש הקבוע לה הוא שלוש שנות מאסר לפחות, ובלבד שהחקירה בעניינה החלה כחלק מחקירת עבירה לפי סעיף 3 או 4 לחוק.</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יושב ראש רשות ניירות ערך ידווח לשר האוצר, בכתב, מדי שנה בשנה, על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ההחלטות על שימוש במידע לצורך חקירת עבירות נוספות ומניעתן או גילוי עבריינים בעבירות נוספות והעמדתם לדין;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ההחלטות על העברת מידע לגורמים מחוץ לרשות ניירות ערך לפי תקנות 3 ו-4, בחלוקה לפי הגורמים שאליהם הועבר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העבירות הנוספות שלשם חקירתן או מניעתן נעשה שימוש במידע לפי תקנה 3, ומספר המקרים לגבי כל עבירה;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הזמן שחלף ממועד העברת המידע מהרשות לאיסור הלבנת הון עד שהוחלט על השימוש במידע לשם חקירה או מניעה של עבירות נוספות.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עותק מן הדיווח יימסר לשר המשפטים ולוועדת החוקה חוק ומשפט של הכנסת.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9.</w:t>
      </w:r>
      <w:r>
        <w:rPr>
          <w:lang w:bidi="he-IL"/>
          <w:rFonts w:hint="cs" w:cs="FrankRuehl"/>
          <w:szCs w:val="26"/>
          <w:rtl/>
        </w:rPr>
        <w:tab/>
        <w:t xml:space="preserve">תחילתן של תקנות אלה 30 ימים מיום פרסומן.</w:t>
      </w:r>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(תקנות 3 ו-4)</w:t>
      </w:r>
    </w:p>
    <w:p>
      <w:pPr>
        <w:bidi/>
        <w:spacing w:before="70" w:after="5" w:line="250" w:lineRule="auto"/>
        <w:jc w:val="center"/>
      </w:pPr>
      <w:defaultTabStop w:val="720"/>
      <w:r>
        <w:rPr>
          <w:lang w:bidi="he-IL"/>
          <w:rFonts w:hint="cs" w:cs="FrankRuehl"/>
          <w:szCs w:val="26"/>
          <w:b/>
          <w:bCs/>
          <w:rtl/>
        </w:rPr>
        <w:t xml:space="preserve">חלק א':רשויות שניתן להעביר אליהן מידע לפי תקנה 3 לצורך חקירת עבירות נוספות ומניעתן או גילוי עבריינים בעבירות נוספות והעמדתם לדין</w:t>
      </w:r>
      <w:bookmarkStart w:name="h11" w:id="11"/>
      <w:bookmarkEnd w:id="11"/>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(1)</w:t>
      </w:r>
      <w:r>
        <w:rPr>
          <w:lang w:bidi="he-IL"/>
          <w:rFonts w:hint="cs" w:cs="FrankRuehl"/>
          <w:szCs w:val="26"/>
          <w:rtl/>
        </w:rPr>
        <w:tab/>
        <w:t xml:space="preserve">משטרת ישראל;</w:t>
      </w:r>
    </w:p>
    <w:p>
      <w:pPr>
        <w:bidi/>
        <w:spacing w:before="45" w:after="50" w:line="250" w:lineRule="auto"/>
        <w:ind/>
        <w:jc w:val="both"/>
        <w:tabs>
          <w:tab w:pos="720"/>
          <w:tab w:pos="1440"/>
          <w:tab w:pos="2160"/>
          <w:tab w:pos="2880"/>
          <w:tab w:pos="3600"/>
        </w:tabs>
        <w:ind w:start="720" w:hanging="720"/>
      </w:pPr>
      <w:defaultTabStop w:val="720"/>
      <w:bookmarkStart w:name="h13" w:id="13"/>
      <w:bookmarkEnd w:id="13"/>
      <w:r>
        <w:rPr>
          <w:lang w:bidi="he-IL"/>
          <w:rFonts w:hint="cs" w:cs="FrankRuehl"/>
          <w:szCs w:val="34"/>
          <w:rtl/>
        </w:rPr>
        <w:t xml:space="preserve">(2)</w:t>
      </w:r>
      <w:r>
        <w:rPr>
          <w:lang w:bidi="he-IL"/>
          <w:rFonts w:hint="cs" w:cs="FrankRuehl"/>
          <w:szCs w:val="26"/>
          <w:rtl/>
        </w:rPr>
        <w:tab/>
        <w:t xml:space="preserve">משטרה צבאית חוקרת;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(3)</w:t>
      </w:r>
      <w:r>
        <w:rPr>
          <w:lang w:bidi="he-IL"/>
          <w:rFonts w:hint="cs" w:cs="FrankRuehl"/>
          <w:szCs w:val="26"/>
          <w:rtl/>
        </w:rPr>
        <w:tab/>
        <w:t xml:space="preserve">היחידה לחקירות פנים של המשטרה הצבאית;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(4)</w:t>
      </w:r>
      <w:r>
        <w:rPr>
          <w:lang w:bidi="he-IL"/>
          <w:rFonts w:hint="cs" w:cs="FrankRuehl"/>
          <w:szCs w:val="26"/>
          <w:rtl/>
        </w:rPr>
        <w:tab/>
        <w:t xml:space="preserve">המחלקה לחקירת שוטרים במשרד המשפטים;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(5)</w:t>
      </w:r>
      <w:r>
        <w:rPr>
          <w:lang w:bidi="he-IL"/>
          <w:rFonts w:hint="cs" w:cs="FrankRuehl"/>
          <w:szCs w:val="26"/>
          <w:rtl/>
        </w:rPr>
        <w:tab/>
        <w:t xml:space="preserve">רשות המסים;</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(6)</w:t>
      </w:r>
      <w:r>
        <w:rPr>
          <w:lang w:bidi="he-IL"/>
          <w:rFonts w:hint="cs" w:cs="FrankRuehl"/>
          <w:szCs w:val="26"/>
          <w:rtl/>
        </w:rPr>
        <w:tab/>
        <w:t xml:space="preserve">רשות התחרות.</w:t>
      </w:r>
    </w:p>
    <w:p>
      <w:pPr>
        <w:bidi/>
        <w:spacing w:before="70" w:after="5" w:line="250" w:lineRule="auto"/>
        <w:jc w:val="center"/>
      </w:pPr>
      <w:defaultTabStop w:val="720"/>
      <w:r>
        <w:rPr>
          <w:lang w:bidi="he-IL"/>
          <w:rFonts w:hint="cs" w:cs="FrankRuehl"/>
          <w:szCs w:val="26"/>
          <w:b/>
          <w:bCs/>
          <w:rtl/>
        </w:rPr>
        <w:t xml:space="preserve">חלק ב':רשויות שניתן להעביר אליהן מידע לפי תקנה 4 לצורך המטרות העיקריות</w:t>
      </w:r>
      <w:bookmarkStart w:name="h18" w:id="18"/>
      <w:bookmarkEnd w:id="18"/>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(1)</w:t>
      </w:r>
      <w:r>
        <w:rPr>
          <w:lang w:bidi="he-IL"/>
          <w:rFonts w:hint="cs" w:cs="FrankRuehl"/>
          <w:szCs w:val="26"/>
          <w:rtl/>
        </w:rPr>
        <w:tab/>
        <w:t xml:space="preserve">משטרת ישראל;</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(2)</w:t>
      </w:r>
      <w:r>
        <w:rPr>
          <w:lang w:bidi="he-IL"/>
          <w:rFonts w:hint="cs" w:cs="FrankRuehl"/>
          <w:szCs w:val="26"/>
          <w:rtl/>
        </w:rPr>
        <w:tab/>
        <w:t xml:space="preserve">משטרה צבאית חוקרת;</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(3)</w:t>
      </w:r>
      <w:r>
        <w:rPr>
          <w:lang w:bidi="he-IL"/>
          <w:rFonts w:hint="cs" w:cs="FrankRuehl"/>
          <w:szCs w:val="26"/>
          <w:rtl/>
        </w:rPr>
        <w:tab/>
        <w:t xml:space="preserve">היחידה לחקירות פנים של המשטרה הצבאית;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(4)</w:t>
      </w:r>
      <w:r>
        <w:rPr>
          <w:lang w:bidi="he-IL"/>
          <w:rFonts w:hint="cs" w:cs="FrankRuehl"/>
          <w:szCs w:val="26"/>
          <w:rtl/>
        </w:rPr>
        <w:tab/>
        <w:t xml:space="preserve">המחלקה לחקירת שוטרים במשרד המשפטים;</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(5)</w:t>
      </w:r>
      <w:r>
        <w:rPr>
          <w:lang w:bidi="he-IL"/>
          <w:rFonts w:hint="cs" w:cs="FrankRuehl"/>
          <w:szCs w:val="26"/>
          <w:rtl/>
        </w:rPr>
        <w:tab/>
        <w:t xml:space="preserve">שירות הביטחון הכללי;</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(6)</w:t>
      </w:r>
      <w:r>
        <w:rPr>
          <w:lang w:bidi="he-IL"/>
          <w:rFonts w:hint="cs" w:cs="FrankRuehl"/>
          <w:szCs w:val="26"/>
          <w:rtl/>
        </w:rPr>
        <w:tab/>
        <w:t xml:space="preserve">אגף המודיעין בצבא ההגנה לישראל;</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(7)</w:t>
      </w:r>
      <w:r>
        <w:rPr>
          <w:lang w:bidi="he-IL"/>
          <w:rFonts w:hint="cs" w:cs="FrankRuehl"/>
          <w:szCs w:val="26"/>
          <w:rtl/>
        </w:rPr>
        <w:tab/>
        <w:t xml:space="preserve">המוסד למודיעין ולתפקידים מיוחדים;</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(8)</w:t>
      </w:r>
      <w:r>
        <w:rPr>
          <w:lang w:bidi="he-IL"/>
          <w:rFonts w:hint="cs" w:cs="FrankRuehl"/>
          <w:szCs w:val="26"/>
          <w:rtl/>
        </w:rPr>
        <w:tab/>
        <w:t xml:space="preserve">יחידה במלמ"ב;</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(9)</w:t>
      </w:r>
      <w:r>
        <w:rPr>
          <w:lang w:bidi="he-IL"/>
          <w:rFonts w:hint="cs" w:cs="FrankRuehl"/>
          <w:szCs w:val="26"/>
          <w:rtl/>
        </w:rPr>
        <w:tab/>
        <w:t xml:space="preserve">שירות בתי הסוהר.</w:t>
      </w:r>
    </w:p>
    <w:p>
      <w:pPr>
        <w:bidi/>
        <w:spacing w:before="70" w:after="5" w:line="250" w:lineRule="auto"/>
        <w:jc w:val="center"/>
      </w:pPr>
      <w:defaultTabStop w:val="720"/>
      <w:bookmarkStart w:name="h28" w:id="28"/>
      <w:bookmarkEnd w:id="28"/>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5(א))</w:t>
      </w:r>
    </w:p>
    <w:p>
      <w:pPr>
        <w:bidi/>
        <w:spacing w:before="45" w:after="5" w:line="250" w:lineRule="auto"/>
        <w:jc w:val="center"/>
      </w:pPr>
      <w:defaultTabStop w:val="720"/>
      <w:r>
        <w:rPr>
          <w:lang w:bidi="he-IL"/>
          <w:rFonts w:hint="cs" w:cs="FrankRuehl"/>
          <w:szCs w:val="26"/>
          <w:rtl/>
        </w:rPr>
        <w:t xml:space="preserve">החלטה על שימוש במידע והעברתו לרשות אחרת לצורך חקירת עבירות נוספות ומניעתן או גילוי עבריינים בעבירות נוספות והעמדתם לדין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b9263e8401b41cd">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29" w:id="29"/>
      <w:bookmarkEnd w:id="29"/>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5(א))</w:t>
      </w:r>
    </w:p>
    <w:p>
      <w:pPr>
        <w:bidi/>
        <w:spacing w:before="45" w:after="5" w:line="250" w:lineRule="auto"/>
        <w:jc w:val="center"/>
      </w:pPr>
      <w:defaultTabStop w:val="720"/>
      <w:r>
        <w:rPr>
          <w:lang w:bidi="he-IL"/>
          <w:rFonts w:hint="cs" w:cs="FrankRuehl"/>
          <w:szCs w:val="26"/>
          <w:rtl/>
        </w:rPr>
        <w:t xml:space="preserve">החלטה על שימוש במידע והעברתו לרשות אחרת לצורך המטרות העיקריות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fbd25b49c5eb4db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סער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איסור הלבנת הון (כללים לשימוש במידע שהועבר לחוקר ניירות ערך לשם חקירת עבירות נוספות ולהעברתו לרשות אחרת),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ae3cab5a34a44e4" /><Relationship Type="http://schemas.openxmlformats.org/officeDocument/2006/relationships/hyperlink" Target="https://www.nevo.co.il/laws/#/624bc3e8371f308484b959e9/clause/624bca2c371f308484b95b16" TargetMode="External" Id="R6b9263e8401b41cd" /><Relationship Type="http://schemas.openxmlformats.org/officeDocument/2006/relationships/hyperlink" Target="https://www.nevo.co.il/laws/#/624bc3e8371f308484b959e9/clause/624bcb07371f308484b95b1d" TargetMode="External" Id="Rfbd25b49c5eb4dbb" /><Relationship Type="http://schemas.openxmlformats.org/officeDocument/2006/relationships/header" Target="/word/header1.xml" Id="r97" /><Relationship Type="http://schemas.openxmlformats.org/officeDocument/2006/relationships/footer" Target="/word/footer1.xml" Id="r98" /></Relationships>
</file>