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47bb5bb07984e0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בית הדין לעבודה (סדרי דין במצב חירום מיוחד), תשנ"א-1991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התקנות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ענינים שבהם יקויימו הליכים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מועדים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בית הדין לעבודה (סדרי דין במצב חירום מיוחד), תשנ"א-1991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43(ב) לחוק בית הדין לעבודה, התשכ"ט-1969, ושאר הסמכויות הנתונות לי לפי כל דין, ולאחר התייעצות עם שר העבודה והרווחה,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דין" – בית הדין הארצי לעבודה ובית דין איזורי לעבודה;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"מצב חירום מיוחד" – מצב שבו נשתבשו סדרי החיים התקינים במדינה או בחלק ממנה מחמת מצב הבטחון, מחמת חשש ממשי לפגיעה חמורה בבריאות הציבור או מחמת פגע טבע.</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התקנות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תקנות 3 עד 5, כולן או מקצתן, יחולו על בתי דין, כולם או מקצתם, אם פרסם שר המשפטים הודעה על כך בשל מצב חירום מיוחד (להלן בתקנות אלה –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תחולתן של התקנות כאמור בתקנת משנה (א) תהיה מן המועד שנקבע בהודעה, אף אם קדם לפרסומה, ועד למועד שייקבע.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פרסום הודעה כאמור בתקנת משנה (א) ייעשה, סמוך ככל האפשר למועד חתימתה, באתר האינטרנט של הרשות השופטת, וכן בשידורי רדיו או טלויזיה הניתנים לציבור או בשני עיתונים יומיים וכמו כן ייעשה ברשומות; הנוסח שפורסם ברשומות הוא המחייב אף אם קדם לו פרסום בדרך אחרת.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ענינים שבהם יקויימו הליכים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בתקופת תקפה של ההודעה יקויימו דיונים רק בענינים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סוגי ענינים שהודיע עליהם נשיא בית הדין הארצי בדרך האמורה בתקנה 2(ג);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הליך מסויים אחר שהחליט עליו נשיא בית הדין הארצי או שופט ראשי של בית דין אזורי, או שופט אחר שהם קבעו לכך, אם ראה לעשות כן מטעמים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מועד דיון בענין שאינו מן הענינים המפורטים בתקנת משנה (א) שנקבע לתקופת תקפה של ההודעה – בטל; מועד דיון לענין כאמור ייקבע מחדש לאחר תום תקופת תקפה של ההודעה.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מועדים</w:t>
                </w:r>
              </w:p>
            </w:txbxContent>
          </v:textbox>
        </v:rect>
      </w:pict>
      <w:r>
        <w:rPr>
          <w:lang w:bidi="he-IL"/>
          <w:rFonts w:hint="cs" w:cs="FrankRuehl"/>
          <w:szCs w:val="34"/>
          <w:rtl/>
        </w:rPr>
        <w:t xml:space="preserve">4.</w:t>
      </w:r>
      <w:r>
        <w:rPr>
          <w:lang w:bidi="he-IL"/>
          <w:rFonts w:hint="cs" w:cs="FrankRuehl"/>
          <w:szCs w:val="26"/>
          <w:rtl/>
        </w:rPr>
        <w:tab/>
        <w:t xml:space="preserve">תקופת תקפה של ההודעה לא תבוא במנין הימים לעשיית דבר שבסדרי דין או בנוהג שנקבע בחיקוק או שקבע בית דין או רשם.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w:t>
                </w:r>
              </w:p>
            </w:txbxContent>
          </v:textbox>
        </v:rect>
      </w:pict>
      <w:r>
        <w:rPr>
          <w:lang w:bidi="he-IL"/>
          <w:rFonts w:hint="cs" w:cs="FrankRuehl"/>
          <w:szCs w:val="34"/>
          <w:rtl/>
        </w:rPr>
        <w:t xml:space="preserve">5.</w:t>
      </w:r>
      <w:r>
        <w:rPr>
          <w:lang w:bidi="he-IL"/>
          <w:rFonts w:hint="cs" w:cs="FrankRuehl"/>
          <w:szCs w:val="26"/>
          <w:rtl/>
        </w:rPr>
        <w:tab/>
        <w:t xml:space="preserve">אגרה שיש לשלמה, לפני תחילת הליך, לפי תקנות בית הדין לעבודה (אגרות), התשכ"ט-1969, יידחה תשלומה עד לאחר תום תקופת תקפה של ההודעה, אלא אם כן קבע בית הדין או הרשם אחרת.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ביום א' בשבט התשנ"א (16 בינואר 1991).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דן מרידור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בית הדין לעבודה (סדרי דין במצב חירום מיוחד), תשנ"א-1991,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59367f2820d47a6" /><Relationship Type="http://schemas.openxmlformats.org/officeDocument/2006/relationships/header" Target="/word/header1.xml" Id="r97" /><Relationship Type="http://schemas.openxmlformats.org/officeDocument/2006/relationships/footer" Target="/word/footer1.xml" Id="r98" /></Relationships>
</file>