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be756f481241d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הדין לעבודה (סמכויות שניתן להעבירן לרשם), תשל"ה-1975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סמכויות שניתן להעבירן לרשם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הדין לעבודה (סמכויות שניתן להעבירן לרשם), תשל"ה-1975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27(ג) לחוק בית-הדין לעבודה, תשכ"ט-1969, ולאחר התייעצות עם שר העבודה,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סמכויות שניתן להעבירן לרשם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אלה הסמכויות ששופט בית דין אזורי יהיה רשאי להעביר לרשם בתובענות כאמור בסעיף 24(א)(1), (3) ו-(5) לחוק: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לבדוק אם כתבי הטענות ערוכים כדין;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להתיר תיקון כתבי טענות או להורות על כך;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לערוך רשימת הפלוגתות;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להורות כל הוראה לענין סדר הדין שיש בה כדי לפשט את הדיון או להקל עליו.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העשירי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בית הדין לעבודה (סמכויות שניתן להעבירן לרשם), תשל"ה-1975".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בית הדין לעבודה (סמכויות שניתן להעבירן לרשם), תשל"ה-1975,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fb1eaeaf824fa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