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37a0d8ce29e439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הפרטיות (תנאי החזקת מידע ושמירתו וסדרי העברת מידע בין גופים ציבוריים),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ב':הוראות כלליות לניהול מאגר מידע</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ג':נהלי ביצוע העברת מידע בין גופים ציבוריים</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להעברת מידע</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מידע בעת מסירה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מסירה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במידע עודף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להעברת מידע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ד':סדרי ניהול מאגר המכיל מידע מוגבל וכללי השימוש בו</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תדפיסי מחשב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הגנת הפרטיות (תנאי החזקת מידע ושמירתו וסדרי העברת מידע בין גופים ציבוריים),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23ז וסעיף 36 לחוק הגנת הפרטיות, התשמ"א-1981 (להלן – החוק),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"אבטחת מידע", "מאגר מידע", "מידע", "מנהל מאגר", "רשם", "שלמות מידע" – כהגדרתם בסעיף 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 כהגדרתו בסעיף 23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מוגבל"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על מצב בריאותו של אדם או על צנעת אישיותו;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השמור במאגרים המנויים בסעיף 13(ה)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אחר ששר המשפטים קבע בצו כי הוא מוגבל;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עודף" – כהגדרתו בסעיף 23ה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אבטחה" – אדם שמונה לממונה על אבטחת מידע לפי סעיף 17ב לחוק או אדם שמנהל המאגר קבע כי הוא אחראי על אבטחת המידע שבמאגר המידע;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 כמשמעותו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 כהגדרתו בסעיף 3 לחוק.</w:t>
      </w:r>
    </w:p>
    <w:p>
      <w:pPr>
        <w:bidi/>
        <w:spacing w:before="70" w:after="5" w:line="250" w:lineRule="auto"/>
        <w:jc w:val="center"/>
      </w:pPr>
      <w:defaultTabStop w:val="720"/>
      <w:r>
        <w:rPr>
          <w:lang w:bidi="he-IL"/>
          <w:rFonts w:hint="cs" w:cs="FrankRuehl"/>
          <w:szCs w:val="26"/>
          <w:b/>
          <w:bCs/>
          <w:rtl/>
        </w:rPr>
        <w:t xml:space="preserve">פרק ב':הוראות כלליות לניהול מאגר מידע</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3.</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פרק ג':נהלי ביצוע העברת מידע בין גופים ציבוריים</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להעברת מידע</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המנהל הכללי של גוף ציבורי ימנה ועדה להעברת מידע לפי פרק 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יהיה יושב ראש הוועדה, ואולם הוא רשאי למנות את סגנו ליושב ראש הוועדה במקומו או עובד בכיר הכפוף לו ישירות; לענין תקנה זו, "עובד" – לרבות חייל, סוהר או שוטר.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בין חברי הוועדה יהיו היועץ המשפטי של הגוף הציבורי או נציגו, ועובדים שתחום עיסוקם הוא בניהול מידע ואבטחתו; מספר חברי הוועדה לא יפחת משלושה.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תדון ותחליט אם ובאיזו מידה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להיעתר לבקשות למסירת מידע מן הגוף הציבורי;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לאשר הגשת בקשות של הגוף הציבורי לקבלת מידע מאת גוף ציבורי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תקבע הוראות לענין ההרשאות וההגבלות בענין הגישה למאגרי המידע; על הוראות אלה יחולו הוראות סעיף 6 לחוק חופש המידע, התשנ"ח-1998 (להלן – חוק חופש המידע).</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מידע בעת מסירה</w:t>
                </w:r>
              </w:p>
            </w:txbxContent>
          </v:textbox>
        </v:rect>
      </w:pict>
      <w:r>
        <w:rPr>
          <w:lang w:bidi="he-IL"/>
          <w:rFonts w:hint="cs" w:cs="FrankRuehl"/>
          <w:szCs w:val="34"/>
          <w:rtl/>
        </w:rPr>
        <w:t xml:space="preserve">4.</w:t>
      </w:r>
      <w:r>
        <w:rPr>
          <w:lang w:bidi="he-IL"/>
          <w:rFonts w:hint="cs" w:cs="FrankRuehl"/>
          <w:szCs w:val="26"/>
          <w:rtl/>
        </w:rPr>
        <w:tab/>
        <w:t xml:space="preserve">בעת מסירה כדין של מידע ממערכת של גוף ציבורי למערכת של גוף ציבורי אחר, אחראים מנהלי המאגר של שתי המערכות לנקיטת פעולות אבטחה ובקרה ושל השימוש במידע במערכת המקבלת ברמה השווה לזו הנהוגה במערכת המוסרת.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מסירה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מנהלי המאגר של מערכות המוסרות והמקבלות דרך קבע מידע יערכו את נוהל ההתקשרות להעברת מידע בין מערכותיהם, בו ייושמו עקרונות האבטחה, בקרת הגישה ורישום המידע הנמסר בהתאם לתקנות אלה. עותקים מנוהל זה יוחזקו ברשות מנהלי המאגר של המערכות.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יימסר, דרך קבע, מידע אלא לאחר שנערך נוהל התקשרות כאמור.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במידע עודף</w:t>
                </w:r>
              </w:p>
            </w:txbxContent>
          </v:textbox>
        </v:rect>
      </w:pict>
      <w:r>
        <w:rPr>
          <w:lang w:bidi="he-IL"/>
          <w:rFonts w:hint="cs" w:cs="FrankRuehl"/>
          <w:szCs w:val="34"/>
          <w:rtl/>
        </w:rPr>
        <w:t xml:space="preserve">6.</w:t>
      </w:r>
      <w:r>
        <w:rPr>
          <w:lang w:bidi="he-IL"/>
          <w:rFonts w:hint="cs" w:cs="FrankRuehl"/>
          <w:szCs w:val="26"/>
          <w:rtl/>
        </w:rPr>
        <w:tab/>
        <w:t xml:space="preserve">מקבל מידע שקיבל מידע לפי תקנות אלה יפריד מיד עם קבלת הנתונים את המידע העודף וימחק אותו מיד.</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להעברת מידע</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לקבלת מידע תיערך לפי טופס א'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הסכמת הגוף הציבורי למסירת המידע תיערך לפי טופס ב'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לרשם מאת גוף ציבורי המקבל דרך קבע מידע בהתאם לסעיף 23ג לחוק והמידע נאגר במאגר מידע, תיערך לפי טופס ג'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והסכמה להעברת מידע טעונות אישור היועץ המשפטי והממונה על אבטחת המידע של הגוף הציבורי המוסר ושל הגוף הציבורי המקבל, על גבי טופס א' או טופס ב' בתוספת,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טופס מהטפסים האמורים בתקנה זו ימולא במלואו.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מנהל מאגר מידע ינהל רשימה של כל מאגרי הגופים, למעט מאגרי מידע המנויים בסעיף 13(ה) לחוק, שאליהם נמסר מידע דרך קבע ממאגר המידע של הגוף הציבורי וסוג המידע המועבר; הרשימה תעמוד לעיון הציבור ויחולו עליה הוראות סעיף 6(ב) לחוק חופש המידע; הרשימה תעמוד לעיון הציבור באתר האינטרנט של הגוף הציבורי, ובאין אתר אינטרנט, במשרד הראשי ובמשרדים המחוזיים, אם ישנם.</w:t>
      </w:r>
    </w:p>
    <w:p>
      <w:pPr>
        <w:bidi/>
        <w:spacing w:before="70" w:after="5" w:line="250" w:lineRule="auto"/>
        <w:jc w:val="center"/>
      </w:pPr>
      <w:defaultTabStop w:val="720"/>
      <w:r>
        <w:rPr>
          <w:lang w:bidi="he-IL"/>
          <w:rFonts w:hint="cs" w:cs="FrankRuehl"/>
          <w:szCs w:val="26"/>
          <w:b/>
          <w:bCs/>
          <w:rtl/>
        </w:rPr>
        <w:t xml:space="preserve">פרק ד':סדרי ניהול מאגר המכיל מידע מוגבל וכללי השימוש בו</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8.</w:t>
      </w:r>
      <w:r>
        <w:rPr>
          <w:lang w:bidi="he-IL"/>
          <w:rFonts w:hint="cs" w:cs="FrankRuehl"/>
          <w:szCs w:val="26"/>
          <w:rtl/>
        </w:rPr>
        <w:tab/>
        <w:t xml:space="preserve">הכללים המפורטים בפרק זה יחולו על מאגר מידע המכיל מידע מוגבל ויופעלו בידי מנהל המאגר בהתאם לנסיבות השימוש במאגר המידע שעליו הוא מופקד.</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תדפיסי מחשב</w:t>
                </w:r>
              </w:p>
            </w:txbxContent>
          </v:textbox>
        </v:rect>
      </w:pict>
      <w:r>
        <w:rPr>
          <w:lang w:bidi="he-IL"/>
          <w:rFonts w:hint="cs" w:cs="FrankRuehl"/>
          <w:szCs w:val="34"/>
          <w:rtl/>
        </w:rPr>
        <w:t xml:space="preserve">11.</w:t>
      </w:r>
      <w:r>
        <w:rPr>
          <w:lang w:bidi="he-IL"/>
          <w:rFonts w:hint="cs" w:cs="FrankRuehl"/>
          <w:szCs w:val="26"/>
          <w:rtl/>
        </w:rPr>
        <w:tab/>
        <w:t xml:space="preserve">קבצים נתיקים ותדפיסי מחשב המכילים מידע מוגבל והמופקים עבור גוף ציבורי אחר יופקו בלווית כתובת בולטת לעין בכל עמוד: "מכיל מידע מוגן לפי חוק הגנת הפרטיות – המוסרו שלא כדין עובר עבירה"; התדפיסים האמורים יימסרו כנגד תעודות משלוח ואישור קבלה מאת הגוף הזכאי לקבלת המידע על פי החוק.</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תחילתן של תקנות אלה תשעה חדשים מיום פרסומן.</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א'
(תקנה 7(א))
</w:t>
      </w:r>
      <w:hyperlink xmlns:r="http://schemas.openxmlformats.org/officeDocument/2006/relationships" w:history="true" r:id="R0ccc54a6258a4edf">
        <w:r>
          <w:rPr>
            <w:rStyle w:val="Hyperlink"/>
            <w:u w:val="single"/>
            <w:color w:themeColor="hyperlink"/>
          </w:rPr>
          <w:t>בקשה לקבלת מידע מאת גוף ציבורי&amp;nbsp;</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eb77665d6ee484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a1bd5a68cde4d4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הפרטיות (תנאי החזקת מידע ושמירתו וסדרי העברת מידע בין גופים ציבוריים), תשמ"ו-1986,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de7d94980b546a7" /><Relationship Type="http://schemas.openxmlformats.org/officeDocument/2006/relationships/hyperlink" Target="https://www.nevo.co.il/lawattachments/6033df0935c06f4f08e83215/4aa69d75-1c41-46d9-a10c-0ce1d86ea340.doc" TargetMode="External" Id="R0ccc54a6258a4edf" /><Relationship Type="http://schemas.openxmlformats.org/officeDocument/2006/relationships/hyperlink" Target="https://www.nevo.co.il/laws/#/6033df0935c06f4f08e83215/clause/60366f2a315508eb664872d8" TargetMode="External" Id="Raeb77665d6ee4849" /><Relationship Type="http://schemas.openxmlformats.org/officeDocument/2006/relationships/hyperlink" Target="https://www.nevo.co.il/laws/#/6033df0935c06f4f08e83215/clause/60367521315508eb664872f7" TargetMode="External" Id="R3a1bd5a68cde4d47" /><Relationship Type="http://schemas.openxmlformats.org/officeDocument/2006/relationships/header" Target="/word/header1.xml" Id="r97" /><Relationship Type="http://schemas.openxmlformats.org/officeDocument/2006/relationships/footer" Target="/word/footer1.xml" Id="r98" /></Relationships>
</file>