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b351e79d6547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(מניעת מחלת הטריסטזה), תשכ"ב-1961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ברכב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עץ</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וסימון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 רישום ועיון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רכב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 רישום של משתלה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תעודות מסירה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מסמכים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להשמיד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אחריות פלילית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הגנת הצומח (מניעת מחלת הטריסטזה), תשכ"ב-1961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2, 3 ו-8 לחוק הגנת הצומח, תשט"ז-1956, אני מתקין תקנות אלה ומצווה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"עץ" – עץ הדר מהסוג קומקואט;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"שתיל" – שתיל עץ;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 ענף עץ או חלק ממנו המשמש להרכבה;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"משתלה" – משתלה לקומקואטים;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"המחלה" – מחלת הטריסטזה (Tristeza);</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המדור להדברת מחלות באגף להגנת הצומח של משרד החקלאות;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 לגבי משתלה – לרבות אחד הבעלים וכן מי שמנהל עסקי הבעלים או עסקי אחד מהם.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ברכב</w:t>
                </w:r>
              </w:p>
            </w:txbxContent>
          </v:textbox>
        </v:rect>
      </w:pict>
      <w:r>
        <w:rPr>
          <w:lang w:bidi="he-IL"/>
          <w:rFonts w:hint="cs" w:cs="FrankRuehl"/>
          <w:szCs w:val="34"/>
          <w:rtl/>
        </w:rPr>
        <w:t xml:space="preserve">2.</w:t>
      </w:r>
      <w:r>
        <w:rPr>
          <w:lang w:bidi="he-IL"/>
          <w:rFonts w:hint="cs" w:cs="FrankRuehl"/>
          <w:szCs w:val="26"/>
          <w:rtl/>
        </w:rPr>
        <w:tab/>
        <w:t xml:space="preserve">לא יעביר אדם לאחר בשום דרך מדרכי העברה את הבעלות על רכב או את החזקה בו, וכן לא ירכוש בכל דרך את הבעלות עליו או את החזקה בו ולא ירכיבנו, אלא אם נלקח מעץ שנרשם לפי 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עץ</w:t>
                </w:r>
              </w:p>
            </w:txbxContent>
          </v:textbox>
        </v:rect>
      </w:pict>
      <w:r>
        <w:rPr>
          <w:lang w:bidi="he-IL"/>
          <w:rFonts w:hint="cs" w:cs="FrankRuehl"/>
          <w:szCs w:val="34"/>
          <w:rtl/>
        </w:rPr>
        <w:t xml:space="preserve">3.</w:t>
      </w:r>
      <w:r>
        <w:rPr>
          <w:lang w:bidi="he-IL"/>
          <w:rFonts w:hint="cs" w:cs="FrankRuehl"/>
          <w:szCs w:val="26"/>
          <w:rtl/>
        </w:rPr>
        <w:tab/>
        <w:t xml:space="preserve">בקשה לרישום עצים תוגש למנהל בטופס שיקבע.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וסימון</w:t>
                </w:r>
              </w:p>
            </w:txbxContent>
          </v:textbox>
        </v:rect>
      </w:pict>
      <w:r>
        <w:rPr>
          <w:lang w:bidi="he-IL"/>
          <w:rFonts w:hint="cs" w:cs="FrankRuehl"/>
          <w:szCs w:val="34"/>
          <w:rtl/>
        </w:rPr>
        <w:t xml:space="preserve">4.</w:t>
      </w:r>
      <w:r>
        <w:rPr>
          <w:lang w:bidi="he-IL"/>
          <w:rFonts w:hint="cs" w:cs="FrankRuehl"/>
          <w:szCs w:val="26"/>
          <w:rtl/>
        </w:rPr>
        <w:tab/>
        <w:t xml:space="preserve">הוגשה בקשה כאמור בתקנה 3 יבדוק מפקח על הצמח (להלן – מפקח) את העצים ולאחר שמצאם נקיים מהמחלה וראויים לריבוי יסמנם במספרים לשם זיהוי וימסור לבעל העצים תעודת רישום בטופס שיקבע המנהל.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 רישום ועיון</w:t>
                </w:r>
              </w:p>
            </w:txbxContent>
          </v:textbox>
        </v:rect>
      </w:pict>
      <w:r>
        <w:rPr>
          <w:lang w:bidi="he-IL"/>
          <w:rFonts w:hint="cs" w:cs="FrankRuehl"/>
          <w:szCs w:val="34"/>
          <w:rtl/>
        </w:rPr>
        <w:t xml:space="preserve">5.</w:t>
      </w:r>
      <w:r>
        <w:rPr>
          <w:lang w:bidi="he-IL"/>
          <w:rFonts w:hint="cs" w:cs="FrankRuehl"/>
          <w:szCs w:val="26"/>
          <w:rtl/>
        </w:rPr>
        <w:tab/>
        <w:t xml:space="preserve">המנהל ינהל ספר רישום של העצים שעליהם ניתנו תעודות רישום. העתק ממנו יונח במשרד האגף להגנת הצומח, רחוב דרור 6, תל-אביב יפו, וכל מעונין רשאי לעיין בו בשעות הקבועות לקבלת קהל.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6.</w:t>
      </w:r>
      <w:r>
        <w:rPr>
          <w:lang w:bidi="he-IL"/>
          <w:rFonts w:hint="cs" w:cs="FrankRuehl"/>
          <w:szCs w:val="26"/>
          <w:rtl/>
        </w:rPr>
        <w:tab/>
        <w:t xml:space="preserve">בעת בדיקת עץ תשולם אגרה בסך 36.50 שקלים חדשים; בעת סימון ורישום עץ תשולם אגרה בסך 12.50 שקלים חדשים.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רכב</w:t>
                </w:r>
              </w:p>
            </w:txbxContent>
          </v:textbox>
        </v:rect>
      </w:pict>
      <w:r>
        <w:rPr>
          <w:lang w:bidi="he-IL"/>
          <w:rFonts w:hint="cs" w:cs="FrankRuehl"/>
          <w:szCs w:val="34"/>
          <w:rtl/>
        </w:rPr>
        <w:t xml:space="preserve">7.</w:t>
      </w:r>
      <w:r>
        <w:rPr>
          <w:lang w:bidi="he-IL"/>
          <w:rFonts w:hint="cs" w:cs="FrankRuehl"/>
          <w:szCs w:val="26"/>
          <w:rtl/>
        </w:rPr>
        <w:tab/>
        <w:t xml:space="preserve">לא ימסור בעל עץ רשום רכב לאחר, אלא בנוכחות מפקח ויחד עם תעודת מסירה בטופס שיקבע המנהל.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 רישום של משתלה</w:t>
                </w:r>
              </w:p>
            </w:txbxContent>
          </v:textbox>
        </v:rect>
      </w:pict>
      <w:r>
        <w:rPr>
          <w:lang w:bidi="he-IL"/>
          <w:rFonts w:hint="cs" w:cs="FrankRuehl"/>
          <w:szCs w:val="34"/>
          <w:rtl/>
        </w:rPr>
        <w:t xml:space="preserve">8.</w:t>
      </w:r>
      <w:r>
        <w:rPr>
          <w:lang w:bidi="he-IL"/>
          <w:rFonts w:hint="cs" w:cs="FrankRuehl"/>
          <w:szCs w:val="26"/>
          <w:rtl/>
        </w:rPr>
        <w:tab/>
        <w:t xml:space="preserve">בעל משתלה יסמן את השתילים שבמשתלה במספרים לשם זיהוי בדרך שיורה המנהל וינהל ספר רישום השתילים בטופס שיקבע המנהל.</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תעודות מסירה</w:t>
                </w:r>
              </w:p>
            </w:txbxContent>
          </v:textbox>
        </v:rect>
      </w:pict>
      <w:r>
        <w:rPr>
          <w:lang w:bidi="he-IL"/>
          <w:rFonts w:hint="cs" w:cs="FrankRuehl"/>
          <w:szCs w:val="34"/>
          <w:rtl/>
        </w:rPr>
        <w:t xml:space="preserve">9.</w:t>
      </w:r>
      <w:r>
        <w:rPr>
          <w:lang w:bidi="he-IL"/>
          <w:rFonts w:hint="cs" w:cs="FrankRuehl"/>
          <w:szCs w:val="26"/>
          <w:rtl/>
        </w:rPr>
        <w:tab/>
        <w:t xml:space="preserve">בעל משתלה ישמור את תעודות המסירה שנמסרו לפי תקנה 7 כל עוד השתילים שלגביהם ניתנו התעודות נמצאים ברשותו.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מסמכים</w:t>
                </w:r>
              </w:p>
            </w:txbxContent>
          </v:textbox>
        </v:rect>
      </w:pict>
      <w:r>
        <w:rPr>
          <w:lang w:bidi="he-IL"/>
          <w:rFonts w:hint="cs" w:cs="FrankRuehl"/>
          <w:szCs w:val="34"/>
          <w:rtl/>
        </w:rPr>
        <w:t xml:space="preserve">10.</w:t>
      </w:r>
      <w:r>
        <w:rPr>
          <w:lang w:bidi="he-IL"/>
          <w:rFonts w:hint="cs" w:cs="FrankRuehl"/>
          <w:szCs w:val="26"/>
          <w:rtl/>
        </w:rPr>
        <w:tab/>
        <w:t xml:space="preserve">בעל משתלה יציג, לפי דרישה, לפני מפקח את ספר הרישום של המשתלה ואת תעודות המסירה שהוא חייב בשמירה לפי תקנה 9.</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להשמיד</w:t>
                </w:r>
              </w:p>
            </w:txbxContent>
          </v:textbox>
        </v:rect>
      </w:pict>
      <w:r>
        <w:rPr>
          <w:lang w:bidi="he-IL"/>
          <w:rFonts w:hint="cs" w:cs="FrankRuehl"/>
          <w:szCs w:val="34"/>
          <w:rtl/>
        </w:rPr>
        <w:t xml:space="preserve">11.</w:t>
      </w:r>
      <w:r>
        <w:rPr>
          <w:lang w:bidi="he-IL"/>
          <w:rFonts w:hint="cs" w:cs="FrankRuehl"/>
          <w:szCs w:val="26"/>
          <w:rtl/>
        </w:rPr>
        <w:tab/>
        <w:t xml:space="preserve">מצא מפקח שתילים שהורכבו ברכב שנלקח מעץ בלתי רשום לפי תקנות אלה או שבעל השתילים אינו יכול להוכיח את מוצא הרכב, או שהם נגועים במחלה, רשאי הוא לצוות בכתב על בעל השתילים להשמידם בנוכחותו במועד ובאופן שייקבע על ידיו.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אחריות פלילית</w:t>
                </w:r>
              </w:p>
            </w:txbxContent>
          </v:textbox>
        </v:rect>
      </w:pict>
      <w:r>
        <w:rPr>
          <w:lang w:bidi="he-IL"/>
          <w:rFonts w:hint="cs" w:cs="FrankRuehl"/>
          <w:szCs w:val="34"/>
          <w:rtl/>
        </w:rPr>
        <w:t xml:space="preserve">12.</w:t>
      </w:r>
      <w:r>
        <w:rPr>
          <w:lang w:bidi="he-IL"/>
          <w:rFonts w:hint="cs" w:cs="FrankRuehl"/>
          <w:szCs w:val="26"/>
          <w:rtl/>
        </w:rPr>
        <w:tab/>
        <w:t xml:space="preserve">השמדת שתילים לפי תקנה 11 לא תגרע מאחריותו הפלילית של בעל השתילים.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לתקנות אלה ייקרא "תקנות הגנת הצומח (מניעת מחלת הטריסטזה), תשכ"ב-1961".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דיין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(מניעת מחלת הטריסטזה), תשכ"ב-1961, נוסח עדכני נכון ליום 24.05.2023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27851073c2c49d4" /><Relationship Type="http://schemas.openxmlformats.org/officeDocument/2006/relationships/header" Target="/word/header1.xml" Id="r97" /><Relationship Type="http://schemas.openxmlformats.org/officeDocument/2006/relationships/footer" Target="/word/footer1.xml" Id="r98" /></Relationships>
</file>