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1f4b4596a1d4e3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הגנת הצומח (סדרי דין בפני ועדת ערר), תשכ"ח-1967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הערר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צירוף מסמכים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חתימת הערר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כתב הערר למשיב</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תשובת המשיב</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חתימת התשובה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התשובה לעורר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על יסוד חומר בכתב</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מועד לשמיעת הערר</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התייצבות לחקירה שכנגד</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שמיעת הערר</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התייצבות בעלי הדין לפני הועדה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דחיית הדיון</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הדיון לנימוקים בערר או בתשובה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החלטת הועדה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מיזוג עררים</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19</w:t>
                </w:r>
              </w:p>
            </w:tc>
          </w:tr>
        </w:tbl>
        <w:br w:type="page"/>
      </w:r>
    </w:p>
    <w:p>
      <w:pPr>
        <w:bidi/>
        <w:spacing w:before="45" w:after="70" w:line="250" w:lineRule="auto"/>
        <w:jc w:val="center"/>
      </w:pPr>
      <w:defaultTabStop w:val="720"/>
      <w:r>
        <w:rPr>
          <w:lang w:bidi="he-IL"/>
          <w:rFonts w:hint="cs" w:cs="FrankRuehl"/>
          <w:szCs w:val="32"/>
          <w:rtl/>
        </w:rPr>
        <w:t xml:space="preserve">תקנות הגנת הצומח (סדרי דין בפני ועדת ערר), תשכ"ח-1967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2ד(ב) לחוק הגנת הצומח, תשט"ז-1956, ובתוקף שאר הסמכויות הנתונות לי לפי כל דין,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"ועדה" – ועדת ערר שנתמנתה לפי סעיף 2ד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"ערר" – ערר לפי סעיף 2ד או 2ו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"משיב" – ועדת ההדברה.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העורר ימסור לועדה, או ישלח בדואר רשום לפי מענה שפורסם ברשומות, כתב הערר בארבעה עותקים.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מענה של הועדה בבית משפט, יימסר כתב הערר במשרד הרישום של אותו בית משפט.</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הערר</w:t>
                </w:r>
              </w:p>
            </w:txbxContent>
          </v:textbox>
        </v:rect>
      </w:pict>
      <w:r>
        <w:rPr>
          <w:lang w:bidi="he-IL"/>
          <w:rFonts w:hint="cs" w:cs="FrankRuehl"/>
          <w:szCs w:val="34"/>
          <w:rtl/>
        </w:rPr>
        <w:t xml:space="preserve">3.</w:t>
      </w:r>
      <w:r>
        <w:rPr>
          <w:lang w:bidi="he-IL"/>
          <w:rFonts w:hint="cs" w:cs="FrankRuehl"/>
          <w:szCs w:val="26"/>
          <w:rtl/>
        </w:rPr>
        <w:tab/>
        <w:t xml:space="preserve">בכתב הערר יפורטו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שמו של העורר, משלח ידו, מענו והמען למסירת מסמכים;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תמצית תכנית ההדברה שעליה עוררים, או תוכן הבקשה לפי סעיף 2ה לחוק או התנאים והסייגים שנקבעו על ידי המשיב ושעליהם מוגש הערר;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התאריך שבו בוצעה התכנית להדברה והתאריך שבו נקבעו סייגים ותנאים לפי סעיף 2ה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נימוקי הערר, כל נימוק בפסקה מיוחדת ובקיצור;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הסעד המבוקש על ידי העורר.</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צירוף מסמכים</w:t>
                </w:r>
              </w:p>
            </w:txbxContent>
          </v:textbox>
        </v:rect>
      </w:pict>
      <w:r>
        <w:rPr>
          <w:lang w:bidi="he-IL"/>
          <w:rFonts w:hint="cs" w:cs="FrankRuehl"/>
          <w:szCs w:val="34"/>
          <w:rtl/>
        </w:rPr>
        <w:t xml:space="preserve">4.</w:t>
      </w:r>
      <w:r>
        <w:rPr>
          <w:lang w:bidi="he-IL"/>
          <w:rFonts w:hint="cs" w:cs="FrankRuehl"/>
          <w:szCs w:val="26"/>
          <w:rtl/>
        </w:rPr>
        <w:tab/>
        <w:t xml:space="preserve">לכתב הערר יצורפו שני עותקים של תצהיר לאימות העובדות שעליהן מסתמך העורר ושל העתק ההודעה אם נמסרה לעורר בכתב.</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חתימת הערר</w:t>
                </w:r>
              </w:p>
            </w:txbxContent>
          </v:textbox>
        </v:rect>
      </w:pict>
      <w:r>
        <w:rPr>
          <w:lang w:bidi="he-IL"/>
          <w:rFonts w:hint="cs" w:cs="FrankRuehl"/>
          <w:szCs w:val="34"/>
          <w:rtl/>
        </w:rPr>
        <w:t xml:space="preserve">5.</w:t>
      </w:r>
      <w:r>
        <w:rPr>
          <w:lang w:bidi="he-IL"/>
          <w:rFonts w:hint="cs" w:cs="FrankRuehl"/>
          <w:szCs w:val="26"/>
          <w:rtl/>
        </w:rPr>
        <w:tab/>
        <w:t xml:space="preserve">כתב הערר ייחתם ביד העורר או בא-כוחו.</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כתב הערר למשיב</w:t>
                </w:r>
              </w:p>
            </w:txbxContent>
          </v:textbox>
        </v:rect>
      </w:pict>
      <w:r>
        <w:rPr>
          <w:lang w:bidi="he-IL"/>
          <w:rFonts w:hint="cs" w:cs="FrankRuehl"/>
          <w:szCs w:val="34"/>
          <w:rtl/>
        </w:rPr>
        <w:t xml:space="preserve">6.</w:t>
      </w:r>
      <w:r>
        <w:rPr>
          <w:lang w:bidi="he-IL"/>
          <w:rFonts w:hint="cs" w:cs="FrankRuehl"/>
          <w:szCs w:val="26"/>
          <w:rtl/>
        </w:rPr>
        <w:tab/>
        <w:t xml:space="preserve">הוגש ערר לועדה, ישלח יושב ראש הועדה למשיב עותק אחד של כתב הערר ושל כל מסמך שצורף אליו.</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תשובת המשיב</w:t>
                </w:r>
              </w:p>
            </w:txbxContent>
          </v:textbox>
        </v:rect>
      </w:pict>
      <w:r>
        <w:rPr>
          <w:lang w:bidi="he-IL"/>
          <w:rFonts w:hint="cs" w:cs="FrankRuehl"/>
          <w:szCs w:val="34"/>
          <w:rtl/>
        </w:rPr>
        <w:t xml:space="preserve">7.</w:t>
      </w:r>
      <w:r>
        <w:rPr>
          <w:lang w:bidi="he-IL"/>
          <w:rFonts w:hint="cs" w:cs="FrankRuehl"/>
          <w:szCs w:val="26"/>
          <w:rtl/>
        </w:rPr>
        <w:tab/>
        <w:t xml:space="preserve">המשיב יגיש לועדה, לא יאוחר מחמישה עשר ימים מהיום שנמסר לו עותק מהערר, תשובה מנומקת בשני עותקים בצירוף תצהיר לאימות העובדות שעליהן הוא מסתמך; יושב ראש הועדה רשאי להאריך את התקופה להגשת התשובה אם ראה לכך סיבה מצדקת.</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חתימת התשובה</w:t>
                </w:r>
              </w:p>
            </w:txbxContent>
          </v:textbox>
        </v:rect>
      </w:pict>
      <w:r>
        <w:rPr>
          <w:lang w:bidi="he-IL"/>
          <w:rFonts w:hint="cs" w:cs="FrankRuehl"/>
          <w:szCs w:val="34"/>
          <w:rtl/>
        </w:rPr>
        <w:t xml:space="preserve">8.</w:t>
      </w:r>
      <w:r>
        <w:rPr>
          <w:lang w:bidi="he-IL"/>
          <w:rFonts w:hint="cs" w:cs="FrankRuehl"/>
          <w:szCs w:val="26"/>
          <w:rtl/>
        </w:rPr>
        <w:tab/>
        <w:t xml:space="preserve">התשובה תיחתם ביד המשיב או ביד בא-כוחו.</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התשובה לעורר</w:t>
                </w:r>
              </w:p>
            </w:txbxContent>
          </v:textbox>
        </v:rect>
      </w:pict>
      <w:r>
        <w:rPr>
          <w:lang w:bidi="he-IL"/>
          <w:rFonts w:hint="cs" w:cs="FrankRuehl"/>
          <w:szCs w:val="34"/>
          <w:rtl/>
        </w:rPr>
        <w:t xml:space="preserve">9.</w:t>
      </w:r>
      <w:r>
        <w:rPr>
          <w:lang w:bidi="he-IL"/>
          <w:rFonts w:hint="cs" w:cs="FrankRuehl"/>
          <w:szCs w:val="26"/>
          <w:rtl/>
        </w:rPr>
        <w:tab/>
        <w:t xml:space="preserve">יושב ראש הועדה ישלח לעורר עותק אחד של התשובה ושל כל מסמך שצורף אליה.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על יסוד חומר בכתב</w:t>
                </w:r>
              </w:p>
            </w:txbxContent>
          </v:textbox>
        </v:rect>
      </w:pict>
      <w:r>
        <w:rPr>
          <w:lang w:bidi="he-IL"/>
          <w:rFonts w:hint="cs" w:cs="FrankRuehl"/>
          <w:szCs w:val="34"/>
          <w:rtl/>
        </w:rPr>
        <w:t xml:space="preserve">10.</w:t>
      </w:r>
      <w:r>
        <w:rPr>
          <w:lang w:bidi="he-IL"/>
          <w:rFonts w:hint="cs" w:cs="FrankRuehl"/>
          <w:szCs w:val="26"/>
          <w:rtl/>
        </w:rPr>
        <w:tab/>
        <w:t xml:space="preserve">ויתרו העורר והמשיב על השמעת טענותיהם לפני הועדה, רשאית הועדה לתת את החלטתה על יסוד החומר בכתב שהובא בפניה.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מועד לשמיעת הערר</w:t>
                </w:r>
              </w:p>
            </w:txbxContent>
          </v:textbox>
        </v:rect>
      </w:pict>
      <w:r>
        <w:rPr>
          <w:lang w:bidi="he-IL"/>
          <w:rFonts w:hint="cs" w:cs="FrankRuehl"/>
          <w:szCs w:val="34"/>
          <w:rtl/>
        </w:rPr>
        <w:t xml:space="preserve">11.</w:t>
      </w:r>
      <w:r>
        <w:rPr>
          <w:lang w:bidi="he-IL"/>
          <w:rFonts w:hint="cs" w:cs="FrankRuehl"/>
          <w:szCs w:val="26"/>
          <w:rtl/>
        </w:rPr>
        <w:tab/>
        <w:t xml:space="preserve">לא ויתרו בעלי הדין כאמור בתקנה 10, או החליט יושב ראש הועדה להזמין את בעלי הדין, יקבע יושב ראש הועדה מועד לשמיעת הערר וישלח הזמנות לעורר ולמשיב; ההזמנה תימסר לבעלי הדין שבעה ימים לפחות לפני מועד השמיעה.</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התייצבות לחקירה שכנגד</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רצה אחד מבעלי הדין לחקור חקירה שכנגד אדם שמסר תצהיר לאימות העובדות שעליהן מסתמך בעל הדין השני, יודיע על כך בכתב לבעל הדין השני ארבעה ימים לפחות לפני מועד השמיעה וימסור העתק של הודעתו ליושב ראש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הודיע אחד מבעלי הדין כאמור בתקנת משנה (א), לא ישמש התצהיר שעליו ניתנה ההודעה ראיה אלא אם היה המצהיר נוכח בשמיעת הערר כשהוא מוכן לחקירה שכנגד, זולת אם היתה הועדה משוכנעת שקבלת התצהיר דרושה למען הצדק.</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שמיעת הערר</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הועדה תשמע תחילה את טענות העורר ולאחר מכן את טענות המשיב.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הועדה רשאית, ככל שהדבר ייראה לה, להתיר לעורר להשיב לטענות המשיב.</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התייצבות בעלי הדין לפני הועדה</w:t>
                </w:r>
              </w:p>
            </w:txbxContent>
          </v:textbox>
        </v:rect>
      </w:pict>
      <w:r>
        <w:rPr>
          <w:lang w:bidi="he-IL"/>
          <w:rFonts w:hint="cs" w:cs="FrankRuehl"/>
          <w:szCs w:val="34"/>
          <w:rtl/>
        </w:rPr>
        <w:t xml:space="preserve">14.</w:t>
      </w:r>
      <w:r>
        <w:rPr>
          <w:lang w:bidi="he-IL"/>
          <w:rFonts w:hint="cs" w:cs="FrankRuehl"/>
          <w:szCs w:val="26"/>
          <w:rtl/>
        </w:rPr>
        <w:tab/>
        <w:t xml:space="preserve">לא התייצב אחד מבעלי הדין לפני הועדה במועד הקבוע לשמיעת הערר, רשאית הועדה לדון בערר ולהחליט שלא בפניו או לדחות את השמיעה למועד מאוחר יותר.</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דחיית הדיון</w:t>
                </w:r>
              </w:p>
            </w:txbxContent>
          </v:textbox>
        </v:rect>
      </w:pict>
      <w:r>
        <w:rPr>
          <w:lang w:bidi="he-IL"/>
          <w:rFonts w:hint="cs" w:cs="FrankRuehl"/>
          <w:szCs w:val="34"/>
          <w:rtl/>
        </w:rPr>
        <w:t xml:space="preserve">15.</w:t>
      </w:r>
      <w:r>
        <w:rPr>
          <w:lang w:bidi="he-IL"/>
          <w:rFonts w:hint="cs" w:cs="FrankRuehl"/>
          <w:szCs w:val="26"/>
          <w:rtl/>
        </w:rPr>
        <w:tab/>
        <w:t xml:space="preserve">הועדה רשאית לדחות את שמיעת הערר למועד אחר, ומשהתחילה בשמיעתו, לדחות את המשך הדיון בו, אם הדחיה דרושה, לדעתה, למען הצדק.</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הדיון לנימוקים בערר או בתשובה</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בשמיעת הערר לא תיזקק הועדה לכל נימוק שלא הוזכר בערר או בתשובה, אלא אם היא משוכנעת שהנימוק נשמט שלא באשמת בעל הדין המבקש להיעזר בו, או ששמיעת הנימוק דרושה למען הצדק.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הועדה רשאית להורות על הגשת פרטים נוספים והמצאת ראיות נוספות בכל ענין הנזכר בערר או בתשובה או ביחס לכל נימוק שהועדה החליטה להיזקק לו כאמור בתקנת משנה (א).</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החלטת הועדה</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החלטות הועדה יתקבלו פה אחד או ברוב דעות.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החלטת הועדה תיערך בכתב ותיחתם ביד היושב ראש וחברי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העתק ההחלטה, מאושר ביד היושב ראש או ביד מי שהוא קבע לכך, יישלח בדואר רשום לעורר ולמשיב סמוך ככל האפשר למתן ההחלטה.</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מיזוג עררים</w:t>
                </w:r>
              </w:p>
            </w:txbxContent>
          </v:textbox>
        </v:rect>
      </w:pict>
      <w:r>
        <w:rPr>
          <w:lang w:bidi="he-IL"/>
          <w:rFonts w:hint="cs" w:cs="FrankRuehl"/>
          <w:szCs w:val="34"/>
          <w:rtl/>
        </w:rPr>
        <w:t xml:space="preserve">18.</w:t>
      </w:r>
      <w:r>
        <w:rPr>
          <w:lang w:bidi="he-IL"/>
          <w:rFonts w:hint="cs" w:cs="FrankRuehl"/>
          <w:szCs w:val="26"/>
          <w:rtl/>
        </w:rPr>
        <w:tab/>
        <w:t xml:space="preserve">הועדה רשאית לאחד עררים התלויים ועומדים לפניה, לדון בהם במשותף ולתת החלטה אחת בכולם, באחת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אם העררים הוגשו על הודעה אחת או על שימוש אחד בסמכות;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כרוכות בהם בעיות משפטיות או בעיות עובדתיות זהות או שכרוכות בהם בעיות משפטיות או בעיות עובדתיות דומות.</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19.</w:t>
      </w:r>
      <w:r>
        <w:rPr>
          <w:lang w:bidi="he-IL"/>
          <w:rFonts w:hint="cs" w:cs="FrankRuehl"/>
          <w:szCs w:val="26"/>
          <w:rtl/>
        </w:rPr>
        <w:tab/>
        <w:t xml:space="preserve">לתקנות אלה ייקרא "תקנות הגנת הצומח (סדרי דין בפני ועדת ערר), תשכ"ח-1967".</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ש' שפירא</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הגנת הצומח (סדרי דין בפני ועדת ערר), תשכ"ח-1967,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b886d0fc9ad47f7" /><Relationship Type="http://schemas.openxmlformats.org/officeDocument/2006/relationships/header" Target="/word/header1.xml" Id="r97" /><Relationship Type="http://schemas.openxmlformats.org/officeDocument/2006/relationships/footer" Target="/word/footer1.xml" Id="r98" /></Relationships>
</file>