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539da80819416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(הפחתה של סכומי העיצום הכספי),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נסיבות אישיות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כמה נסיבות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בשל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הגנת הצרכן (הפחתה של סכומי העיצום הכספי),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22ח לחוק הגנת הצרכן, התשמ"א-1981, בהסכמת שר המשפטים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 אישור שנתן רואה חשבון או אישור שנתן יועץ מס מייצג כי נתון פלוני תואם לאמור במסמך שהוגש במסגרת פעולת הייצוג של יועץ המס; ואם המפר חייב במינוי רואה חשבון מבקר לפי דין, אישור שנתן רואה חשבון המבקר שמונה כאמור, המבקר את הדוחות הכספיים השנתיים; ולעניין אגודה שיתופית, גם אישור של מי שביקר את חשבונותיה לפי פקודת האגודות השיתופיות;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 כהגדרתו בחוק מס ערך מוסף, התשל"ו-1975.</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r>
      <w:r>
        <w:rPr>
          <w:lang w:bidi="he-IL"/>
          <w:rFonts w:hint="cs" w:cs="FrankRuehl"/>
          <w:szCs w:val="26"/>
          <w:rtl/>
        </w:rPr>
        <w:tab/>
        <w:t xml:space="preserve">הממונה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המפר לא הפר כל הוראה מהוראות החוק או לפיו בחמש השנים שקדמו להפרה – 20%; לא הפר את אותה הוראה בשלוש השנים שקדמו להפרה –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המפר הפסיק את ההפרה מיוזמתו ודיווח עליה לממונה – 30%;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המפר נקט פעולות למניעת הישנות ההפרה ולהקטנת הנזק, להנחת דעתו של הממונה – 30%.</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נסיבות אישיות</w:t>
                </w:r>
              </w:p>
            </w:txbxContent>
          </v:textbox>
        </v:rect>
      </w:pict>
      <w:r>
        <w:rPr>
          <w:lang w:bidi="he-IL"/>
          <w:rFonts w:hint="cs" w:cs="FrankRuehl"/>
          <w:szCs w:val="34"/>
          <w:rtl/>
        </w:rPr>
        <w:t xml:space="preserve">3.</w:t>
      </w:r>
      <w:r>
        <w:rPr>
          <w:lang w:bidi="he-IL"/>
          <w:rFonts w:hint="cs" w:cs="FrankRuehl"/>
          <w:szCs w:val="26"/>
          <w:rtl/>
        </w:rPr>
        <w:tab/>
        <w:t xml:space="preserve">ראה הממונה,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35%.</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כמה נסיבות</w:t>
                </w:r>
              </w:p>
            </w:txbxContent>
          </v:textbox>
        </v:rect>
      </w:pict>
      <w:r>
        <w:rPr>
          <w:lang w:bidi="he-IL"/>
          <w:rFonts w:hint="cs" w:cs="FrankRuehl"/>
          <w:szCs w:val="34"/>
          <w:rtl/>
        </w:rPr>
        <w:t xml:space="preserve">4.</w:t>
      </w:r>
      <w:r>
        <w:rPr>
          <w:lang w:bidi="he-IL"/>
          <w:rFonts w:hint="cs" w:cs="FrankRuehl"/>
          <w:szCs w:val="26"/>
          <w:rtl/>
        </w:rPr>
        <w:tab/>
        <w:t xml:space="preserve">התקיימו לגבי מפר כמה נסיבות כאמור בתקנות 2 ו-3 רשאי הממונה להפחית למפר מסכום העיצום הכספי את השיעורים המנויים לצד אותן נסיבות במצטבר, ובלבד ששיעור ההפחתה לא יעלה על 75% מסכום העיצום הכספי הקבוע בשל אותה הפרה.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בשל התחשבות במחזור עסקאות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מצא הממונה שסכום העיצום הכספי עולה על 20% ממחזור העסקאות הכולל של המפר, רשאי הוא להפחית את הסכום ל-20% ממחזור העסקאות הכולל שלו; ואולם מפר שמחזור העסקאות שלו אינו עולה על 10 מיליון שקלים חדשים, רשאי הממונה להפחית את סכום העיצום הכספי שלו ל-7% ממחזור העסקאות הכולל שלו.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בין אם הופחת סכום העיצום הכספי לפי תקנות 2 ו-3 ובין אם לאו.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מפר המבקש הפחתה של סכום העיצום הכספי לפי תקנה זו, יגיש לממונה אישור, לעניין גובה מחזור העסקאות שלו, בתוך 30 ימים ממועד מסירת ההודעה על הכוונה להטיל עליו עיצום כספי.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י' בטבת התשע"ה (1 בינואר 2015).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נפתלי בנט</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(הפחתה של סכומי העיצום הכספי), תשע"ה-2014,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14f6d3ed4d415f" /><Relationship Type="http://schemas.openxmlformats.org/officeDocument/2006/relationships/header" Target="/word/header1.xml" Id="r97" /><Relationship Type="http://schemas.openxmlformats.org/officeDocument/2006/relationships/footer" Target="/word/footer1.xml" Id="r98" /></Relationships>
</file>