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829fbb4ea7e4c6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(כללים בדבר הצגת מחיר של שירותי מלונאות לתייר), תשס"ה-2005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מלונאות</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הגנת הצרכן (כללים בדבר הצגת מחיר של שירותי מלונאות לתייר), תשס"ה-2005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37 לחוק הגנת הצרכן, התשמ"א-1981 (להלן – החוק), ופרט 1 בחלק א' של התוספת לחוק, ובהתייעצות עם שר התיירות,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מלון" – כהגדרתו בסעיף 1 לחוק מס ערך מוסף, התשל"ו-1976;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"שירותים נוספים אגב לינה" – כאמור בתקנה 12ב לתקנות מס ערך מוסף, התשל"ו-1976;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"תייר" – כהגדרתו בסעיף 1 לחוק מס ערך מוסף.</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מלונאות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בית מלון רשאי להציג בעל מקום שבו מוצג מחיר, מחיר לתייר הכולל לינה ושירותים נוספים אגב לינה, לאחר הפחתת המסים שתייר פטור מהם, במטבע חוץ, ובלבד שצוין במפורש ובאופן בולט לעין כי מחיר זה הוא לתייר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מחיר לתייר בעבור לינה בבית מלון, יוצג ליד דלפק קבלת האורחים ובכל חדר והמחיר של שירותים נוספים, אגב לינה הניתנים לתייר, יוצג בכל מקום שבו הם ניתנים, לפי הענין.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(כללים בדבר הצגת מחיר של שירותי מלונאות לתייר), תשס"ה-2005,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2b9cf17a9f74703" /><Relationship Type="http://schemas.openxmlformats.org/officeDocument/2006/relationships/header" Target="/word/header1.xml" Id="r97" /><Relationship Type="http://schemas.openxmlformats.org/officeDocument/2006/relationships/footer" Target="/word/footer1.xml" Id="r98" /></Relationships>
</file>