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ab5b98c42642d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הדיינים (תנאי הסמכה וסדריה), תשט"ו-1955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הסמכה כדיין בבית דין רבני אזורי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הסמכה כדיין בבית הדין הרבני הגדול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הבקשה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בוחנת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הבחינות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הבחינות ומקומן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שנכשל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הסמכה והודעה למבקש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מבחינות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הסמכה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ההסמכה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לשר הדתות ולועדת המינויים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ההסמכה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תקנות הדיינים (תנאי הסמכה וסדריה), תשט"ו-1955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 ו-27 לחוק הדיינים, תשט"ו-1955,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הסמכה כדיין בבית דין רבני אזורי</w:t>
                </w:r>
              </w:p>
            </w:txbxContent>
          </v:textbox>
        </v:rect>
      </w:pict>
      <w:r>
        <w:rPr>
          <w:lang w:bidi="he-IL"/>
          <w:rFonts w:hint="cs" w:cs="FrankRuehl"/>
          <w:szCs w:val="34"/>
          <w:rtl/>
        </w:rPr>
        <w:t xml:space="preserve">1.</w:t>
      </w:r>
      <w:r>
        <w:rPr>
          <w:lang w:bidi="he-IL"/>
          <w:rFonts w:hint="cs" w:cs="FrankRuehl"/>
          <w:szCs w:val="26"/>
          <w:rtl/>
        </w:rPr>
        <w:tab/>
        <w:t xml:space="preserve">לא יוסמך אדם להיות כשיר להתמנות כדיין בבית דין רבני אזורי אלא אם נתמלאו בו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הוסמך לרבנות (יורה יורה ידין ידין) על ידי רב מומחה או מוסד תורני שמועצת הרבנות הראשית (להלן – המועצה) מכירה בהסמכתם כמספיקה;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מלאו לו שלושים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נשוי או היה נשוי;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אורח חייו ואפיו הולמים את מעמדו של דיין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עמד בבחינות הנערכות מטעם המועצה או באותן הבחינות שלא נפטר מהן – אם המועצה פטרתו ממקצתן.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הסמכה כדיין בבית הדין הרבני הגדול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יוסמך אדם להיות כשיר להתמנות כדיין בבית הדין הרבני הגדול אלא אם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כיהן כדיין בבית דין רבני אזורי לפחות שלוש שנים רצופות,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ידוע כגדול בתורה מפורסם ונתמלאו בו התנאים המפורטים בתקנה 1(1), (2),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תינתן הסמכה לפי תקנת משנה (א)(2) אלא אם בין הרוב שהצביעו במועצה בעד מתן ההסמכה היו שני הרבנים הראשיים לישראל.</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הרוצה בהסמכה כאמור יגיש למזכירות המועצה בקשה בכתב בה יבקש להרשות לו לגשת לבחינות או לפטרו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לכתב הבקשה יצורפו מסמכים להוכחת העובדות המפורטות בתקנה 1(1), (2) ו-(3) וכן תיאור תולדות חייו ושתי תמונות של המבקש.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הבקשה</w:t>
                </w:r>
              </w:p>
            </w:txbxContent>
          </v:textbox>
        </v:rect>
      </w:pict>
      <w:r>
        <w:rPr>
          <w:lang w:bidi="he-IL"/>
          <w:rFonts w:hint="cs" w:cs="FrankRuehl"/>
          <w:szCs w:val="34"/>
          <w:rtl/>
        </w:rPr>
        <w:t xml:space="preserve">4.</w:t>
      </w:r>
      <w:r>
        <w:rPr>
          <w:lang w:bidi="he-IL"/>
          <w:rFonts w:hint="cs" w:cs="FrankRuehl"/>
          <w:szCs w:val="26"/>
          <w:rtl/>
        </w:rPr>
        <w:tab/>
        <w:t xml:space="preserve">המועצה תודיע למבקש לא יאוחר משלושה חדשים מיום הגשת הבקשה את החלטתה בדבר בקשתו.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בוחנת</w:t>
                </w:r>
              </w:p>
            </w:txbxContent>
          </v:textbox>
        </v:rect>
      </w:pict>
      <w:r>
        <w:rPr>
          <w:lang w:bidi="he-IL"/>
          <w:rFonts w:hint="cs" w:cs="FrankRuehl"/>
          <w:szCs w:val="34"/>
          <w:rtl/>
        </w:rPr>
        <w:t xml:space="preserve">5.</w:t>
      </w:r>
      <w:r>
        <w:rPr>
          <w:lang w:bidi="he-IL"/>
          <w:rFonts w:hint="cs" w:cs="FrankRuehl"/>
          <w:szCs w:val="26"/>
          <w:rtl/>
        </w:rPr>
        <w:tab/>
        <w:t xml:space="preserve">המועצה תמנה ועדה בוחנת (להלן – הועדה) בת שלושה רבנים לפחות.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הבחינות</w:t>
                </w:r>
              </w:p>
            </w:txbxContent>
          </v:textbox>
        </v:rect>
      </w:pict>
      <w:r>
        <w:rPr>
          <w:lang w:bidi="he-IL"/>
          <w:rFonts w:hint="cs" w:cs="FrankRuehl"/>
          <w:szCs w:val="34"/>
          <w:rtl/>
        </w:rPr>
        <w:t xml:space="preserve">6.</w:t>
      </w:r>
      <w:r>
        <w:rPr>
          <w:lang w:bidi="he-IL"/>
          <w:rFonts w:hint="cs" w:cs="FrankRuehl"/>
          <w:szCs w:val="26"/>
          <w:rtl/>
        </w:rPr>
        <w:tab/>
        <w:t xml:space="preserve">הבחינות ייערכו בכתב ובעל פה לפי הסדרים שייקבעו על ידי המועצה.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הבחינות ומקומן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תקבע את מועד הבחינות ואת מקומן.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מזכירות המועצה תפרסם לא יאוחר משבועיים לפני מועד הבחינות הודעה על כך ותשלח העתק ממנה למבקש.</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הבחינות</w:t>
                </w:r>
              </w:p>
            </w:txbxContent>
          </v:textbox>
        </v:rect>
      </w:pict>
      <w:r>
        <w:rPr>
          <w:lang w:bidi="he-IL"/>
          <w:rFonts w:hint="cs" w:cs="FrankRuehl"/>
          <w:szCs w:val="34"/>
          <w:rtl/>
        </w:rPr>
        <w:t xml:space="preserve">8.</w:t>
      </w:r>
      <w:r>
        <w:rPr>
          <w:lang w:bidi="he-IL"/>
          <w:rFonts w:hint="cs" w:cs="FrankRuehl"/>
          <w:szCs w:val="26"/>
          <w:rtl/>
        </w:rPr>
        <w:tab/>
        <w:t xml:space="preserve">הבחינות יהיו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ידיעה כללית בתלמוד ופוסקים;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ידיעה יסודית ב"שולחן ערוך" – "אבן העזר" ו"חושן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ניסוח פסק דין במשפט לדוגמה על נימוקיו העובדתיים וההלכתיים;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ידיעת תקנות וסדרי הדיון המבוססים על ההלכה.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שנכשל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נבחן שנכשל באחד הנושאים המנויים בתקנה 8 רשאי להיבחן בו שנית, אך לא לפני תום שנה מיום שנבחן.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שנכשל ביותר מנושא אחד מהנושאים האמורים, רשאי להיבחן באותם הנושאים שנית, אך לא לפני תום שנתיים מיום שנבחן.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הבחינות</w:t>
                </w:r>
              </w:p>
            </w:txbxContent>
          </v:textbox>
        </v:rect>
      </w:pict>
      <w:r>
        <w:rPr>
          <w:lang w:bidi="he-IL"/>
          <w:rFonts w:hint="cs" w:cs="FrankRuehl"/>
          <w:szCs w:val="34"/>
          <w:rtl/>
        </w:rPr>
        <w:t xml:space="preserve">10.</w:t>
      </w:r>
      <w:r>
        <w:rPr>
          <w:lang w:bidi="he-IL"/>
          <w:rFonts w:hint="cs" w:cs="FrankRuehl"/>
          <w:szCs w:val="26"/>
          <w:rtl/>
        </w:rPr>
        <w:tab/>
        <w:t xml:space="preserve">הועדה תודיע למועצה בכתב על תוצאות הבחינות.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הסמכה והודעה למבקש</w:t>
                </w:r>
              </w:p>
            </w:txbxContent>
          </v:textbox>
        </v:rect>
      </w:pict>
      <w:r>
        <w:rPr>
          <w:lang w:bidi="he-IL"/>
          <w:rFonts w:hint="cs" w:cs="FrankRuehl"/>
          <w:szCs w:val="34"/>
          <w:rtl/>
        </w:rPr>
        <w:t xml:space="preserve">11.</w:t>
      </w:r>
      <w:r>
        <w:rPr>
          <w:lang w:bidi="he-IL"/>
          <w:rFonts w:hint="cs" w:cs="FrankRuehl"/>
          <w:szCs w:val="26"/>
          <w:rtl/>
        </w:rPr>
        <w:tab/>
        <w:t xml:space="preserve">לאחר שנמסרה הודעה על תוצאות הבחינות, תחליט המועצה אם לתת למבקש את ההסמכה ותודיע לו על כך תוך חודש מיום מסירת ההודעה האמורה.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מבחינות</w:t>
                </w:r>
              </w:p>
            </w:txbxContent>
          </v:textbox>
        </v:rect>
      </w:pict>
      <w:r>
        <w:rPr>
          <w:lang w:bidi="he-IL"/>
          <w:rFonts w:hint="cs" w:cs="FrankRuehl"/>
          <w:szCs w:val="34"/>
          <w:rtl/>
        </w:rPr>
        <w:t xml:space="preserve">12.</w:t>
      </w:r>
      <w:r>
        <w:rPr>
          <w:lang w:bidi="he-IL"/>
          <w:rFonts w:hint="cs" w:cs="FrankRuehl"/>
          <w:szCs w:val="26"/>
          <w:rtl/>
        </w:rPr>
        <w:tab/>
        <w:t xml:space="preserve">המועצה רשאית לפטור מבחינות, כולן או מקצתן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מבקש שהוסמך לפי תקנות אלה שנתיים או יותר לפני כן,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מבקש הידוע כגדול בתורה מפורסם, אם בין הרוב שהצביעו במועצה בעד הפטור היו שני הרבנים הראשיים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מבקש שכיהן כרב עיר או כדיין, בארץ או בחו"ל, לפחות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מבקש שכיהן לפחות שלוש שנים בתפקיד היועץ המשפטי לשיפוט הרבני או מנהל המחלקה לשיפוט הרבני, ושר הדתות הודיע למועצה כי ייעד את המבקש לתפקיד מנהל בתי הדין, האחראי בפני השר על ביצוע סדרי המינהל של בתי הדין, על פי סעיף 13 לחוק הדיינים, 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מבקש המכהן כרב עיר בעיר שיש בה בית דין רבני.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הסמכה</w:t>
                </w:r>
              </w:p>
            </w:txbxContent>
          </v:textbox>
        </v:rect>
      </w:pict>
      <w:r>
        <w:rPr>
          <w:lang w:bidi="he-IL"/>
          <w:rFonts w:hint="cs" w:cs="FrankRuehl"/>
          <w:szCs w:val="34"/>
          <w:rtl/>
        </w:rPr>
        <w:t xml:space="preserve">13.</w:t>
      </w:r>
      <w:r>
        <w:rPr>
          <w:lang w:bidi="he-IL"/>
          <w:rFonts w:hint="cs" w:cs="FrankRuehl"/>
          <w:szCs w:val="26"/>
          <w:rtl/>
        </w:rPr>
        <w:tab/>
        <w:t xml:space="preserve">החליטה המועצה לתת הסמכה לאדם להיות כשיר להתמנות כדיין בבית דין רבני אזורי או בבית הדין הרבני הגדול, תמציא לו המועצה בהתאם לכך כתב הסמכה חתום על ידי מי שיתמנה לכך על ידי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ההסמכה</w:t>
                </w:r>
              </w:p>
            </w:txbxContent>
          </v:textbox>
        </v:rect>
      </w:pict>
      <w:r>
        <w:rPr>
          <w:lang w:bidi="he-IL"/>
          <w:rFonts w:hint="cs" w:cs="FrankRuehl"/>
          <w:szCs w:val="34"/>
          <w:rtl/>
        </w:rPr>
        <w:t xml:space="preserve">14.</w:t>
      </w:r>
      <w:r>
        <w:rPr>
          <w:lang w:bidi="he-IL"/>
          <w:rFonts w:hint="cs" w:cs="FrankRuehl"/>
          <w:szCs w:val="26"/>
          <w:rtl/>
        </w:rPr>
        <w:tab/>
        <w:t xml:space="preserve">ההסמכה שתינתן לפי תקנות אלה כוחה יפה לתקופה של שנתיים מיום חתימתה.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לשר הדתות ולועדת המינויים</w:t>
                </w:r>
              </w:p>
            </w:txbxContent>
          </v:textbox>
        </v:rect>
      </w:pict>
      <w:r>
        <w:rPr>
          <w:lang w:bidi="he-IL"/>
          <w:rFonts w:hint="cs" w:cs="FrankRuehl"/>
          <w:szCs w:val="34"/>
          <w:rtl/>
        </w:rPr>
        <w:t xml:space="preserve">15.</w:t>
      </w:r>
      <w:r>
        <w:rPr>
          <w:lang w:bidi="he-IL"/>
          <w:rFonts w:hint="cs" w:cs="FrankRuehl"/>
          <w:szCs w:val="26"/>
          <w:rtl/>
        </w:rPr>
        <w:tab/>
        <w:t xml:space="preserve">הוסמך אדם להיות כשיר להתמנות כדיין בבית דין רבני אזורי או בבית הדין הרבני הגדול תודיע המועצה על כך בכתב לשר הדתות ולועדת המינויים.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ההסמכה</w:t>
                </w:r>
              </w:p>
            </w:txbxContent>
          </v:textbox>
        </v:rect>
      </w:pict>
      <w:r>
        <w:rPr>
          <w:lang w:bidi="he-IL"/>
          <w:rFonts w:hint="cs" w:cs="FrankRuehl"/>
          <w:szCs w:val="34"/>
          <w:rtl/>
        </w:rPr>
        <w:t xml:space="preserve">16.</w:t>
      </w:r>
      <w:r>
        <w:rPr>
          <w:lang w:bidi="he-IL"/>
          <w:rFonts w:hint="cs" w:cs="FrankRuehl"/>
          <w:szCs w:val="26"/>
          <w:rtl/>
        </w:rPr>
        <w:tab/>
        <w:t xml:space="preserve">המועצה רשאית לבטל את ההסמכה, אם לאחר שהגיעו אליה ידיעות נוספות על בעל ההסמכה ולאחר שניתנה לו הזדמנות להשמיע את טענותיו היא באה לידי מסקנה שאורח חייו או אפיו אינם הולמים את מעמדו של דיין בישראל.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17.</w:t>
      </w:r>
      <w:r>
        <w:rPr>
          <w:lang w:bidi="he-IL"/>
          <w:rFonts w:hint="cs" w:cs="FrankRuehl"/>
          <w:szCs w:val="26"/>
          <w:rtl/>
        </w:rPr>
        <w:tab/>
        <w:t xml:space="preserve">החלטות המועצה לפי תקנות אלה יתקבלו בישיבות שאליהן יוזמנו כל חברי המועצה לפחות חמישה ימים לפני המועד ושבהן יהיו נוכחים לפחות ששה חברים, ובתוכם לפחות אחד מהרבנים הראשיים לישראל.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18.</w:t>
      </w:r>
      <w:r>
        <w:rPr>
          <w:lang w:bidi="he-IL"/>
          <w:rFonts w:hint="cs" w:cs="FrankRuehl"/>
          <w:szCs w:val="26"/>
          <w:rtl/>
        </w:rPr>
        <w:tab/>
        <w:t xml:space="preserve">לתקנות אלה ייקרא "תקנות הדיינים (תנאי הסמכה וסדריה), תשט"ו-1955".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2b14aba0bb949d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הדיינים (תנאי הסמכה וסדריה), תשט"ו-1955,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75c16dc8ae34e72" /><Relationship Type="http://schemas.openxmlformats.org/officeDocument/2006/relationships/hyperlink" Target="https://www.nevo.co.il/laws/#/6283ff2189424584981e3319/clause/6284a96596c2f74587d75409" TargetMode="External" Id="Rb2b14aba0bb949d8" /><Relationship Type="http://schemas.openxmlformats.org/officeDocument/2006/relationships/header" Target="/word/header1.xml" Id="r97" /><Relationship Type="http://schemas.openxmlformats.org/officeDocument/2006/relationships/footer" Target="/word/footer1.xml" Id="r98" /></Relationships>
</file>