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e65520f26fe4f0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ההתייעלות הכלכלית (כללי חלוקת הקרן לצמצום פערים בין רשויות מקומיות לשנת 2022) (הוראת שעה),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סף לחלוקה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ב':הקצאה כללית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הקצאה לפי היקף שטחי ארנונה אחרת לתושב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הקצאה לפי חיוב ארנונה אחרת לתושב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הקצאה לפי הכנסה נורמטיבית לנפש מארנונה כללית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הוספה או הפחתה בשל אשכול פריפריאליות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ההקצאה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ג':הקצאה נוספת לפי נתוני עלייה וביטול ההכרזה כ"עיר עולים"</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לגבי עולים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הקצאה לפי שיעור העולים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הקצאה לפי מספר התושבים שהם עולים מאתיופיה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הקצאה בשל עיוותים כלכליים וביטול ההכרזה כ"עיר עולים"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התאמה לתקציב</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כספים לפי זכאות בשנה קודמת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אופן החישוב וההקצאה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bl>
        <w:br w:type="page"/>
      </w:r>
    </w:p>
    <w:p>
      <w:pPr>
        <w:bidi/>
        <w:spacing w:before="45" w:after="70" w:line="250" w:lineRule="auto"/>
        <w:jc w:val="center"/>
      </w:pPr>
      <w:defaultTabStop w:val="720"/>
      <w:r>
        <w:rPr>
          <w:lang w:bidi="he-IL"/>
          <w:rFonts w:hint="cs" w:cs="FrankRuehl"/>
          <w:szCs w:val="32"/>
          <w:rtl/>
        </w:rPr>
        <w:t xml:space="preserve">תקנות ההתייעלות הכלכלית (כללי חלוקת הקרן לצמצום פערים בין רשויות מקומיות לשנת 2022) (הוראת שעה),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24 לחוק ההתייעלות הכלכלית (תיקוני חקיקה ליישום המדיניות הכלכלית לשנות התקציב 2017 ו-2018), התשע"ז-2016 (להלן – החוק), אנו מתקינים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"ארנונה אחרת" – ארנונה בעד נכסים שבתחומי הרשות המקומית בכל הסיווגים פרט לסיווג מגורים;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"גירעון שוטף" – עודף הוצאות על הכנסות בתקציב השוטף, כפי שהופיע בדוח המבוקר, ולעניין רשות מקומית בתוכנית הבראה – הפער בין העודף האמור לעודף הוצאות על הכנסות בתקציב המאושר שלה;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"גירעון מצטבר", "הדוח המבוקר", "שיעור גבייה", "שיעור גירעון מצטבר" ו"שיעור גירעון שוטף"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עירייה – כהגדרתם בסעיף 140ג לפקודת העיריות;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מועצה מקומית – כהגדרתם בסעיף 35ג לפקודת המועצות המקומיות;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"היקף שטחי ארנונה אחרת לתושב" – המנה המתקבלת מחלוקת סך כל היקף השטחים שבעדם משולמת ארנונה אחרת, לפי הדוח המבוקר האחרון, במספר התושבים;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"הכנסות לתושב" – המנה המתקבלת מחלוקת הכנסות הרשות המקומית בתקציב השוטף המפורטות בדוח המבוקר, למעט הכנסות כאמור לכיסוי הגירעון המצטבר והכנסות שנרשמו בשל הנחות מארנונה, במספר התושבים;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"הכנסה נורמטיבית לנפש מארנונה כללית" – הערך המתקבל מהנוסחה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מרשם האוכלוסין" – חוק מרשם האוכלוסין,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"חיוב ארנונה אחרת לתושב" – המנה המתקבלת מחלוקת סך כל חיובי הארנונה האחרת, לפי הדוח המבוקר האחרון, במספר התושבים;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התושבים" – מספר התושבים שלפי הרישום במרשם האוכלוסין התגוררו בתחום הרשות המקומית ביום 31 באוקטובר שלפני שנת הכספים שבה מחולקים כספי הקרן;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תושבים משוקלל" – סך כל התושבים ברשות המקומית על פי מדרגות ושיעורים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תושב עד 20,000 תושבים – 100% מהתושבים במדרגה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תושב מ-20,001 תושבים עד 40,000 תושבים – 85% מהתושבים במדרגה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תושב מ-40,001 תושבים עד 60,000 תושבים – 70% מהתושבים במדרגה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תושב מ-60,001 תושבים עד 80,000 תושבים – 55% מהתושבים במדרגה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תושב מ-80,001 תושבים עד 100,000 תושבים – 40% מהתושבים במדרגה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 תושב מ-100,001 תושבים עד 125,000 תושבים – 25% מהתושבים במדרגה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כל תושב מ-125,001 תושבים עד 150,000 תושבים – 10% מהתושבים במדרגה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כל תושב מ-150,001 תושבים עד 200,000 תושבים – 5% מהתושבים במדרגה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כל תושב מ-200,001 תושבים ומעלה – 0% מהתושבים במדרגה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האוכלוסין" – כמשמעותו בסעיף 2 לחוק 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"עולה מאתיופיה" – מי שעלה לישראל מאתיופיה לאחר יום כ"ו בטבת התשמ"ד (1 בינואר 1984);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"שיעור העולים" – המנה המתקבלת מחלוקת מכפלת מספר התושבים ברשות המקומית שלפי מרשם האוכלוסין עלו לישראל בחמש עשרה השנים שקדמו לשנת הכספים שבה מחולקים כספי הקרן, במקדם העדפה לפי שנת עלייה לפי טבלה 1 שבתוספת השנייה, במספר התושבים ברשות המקומית;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"שיעור ארנונה אחרת" – המנה המתקבלת מחלוקת סך כל חיוב הארנונה האחרת לפי הדוח המבוקר האחרון, בסך כל חיוב הארנונה לפי הדוח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"תוכנית הבראה" – תוכנית שאושרה לפי סעיף 140ד לפקודת העיריות או לפי סעיף 35ד לפקודת המועצות המקומיות, לפי העניין.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סף לחלוקה</w:t>
                </w:r>
              </w:p>
            </w:txbxContent>
          </v:textbox>
        </v:rect>
      </w:pict>
      <w:r>
        <w:rPr>
          <w:lang w:bidi="he-IL"/>
          <w:rFonts w:hint="cs" w:cs="FrankRuehl"/>
          <w:szCs w:val="34"/>
          <w:rtl/>
        </w:rPr>
        <w:t xml:space="preserve">2.</w:t>
      </w:r>
      <w:r>
        <w:rPr>
          <w:lang w:bidi="he-IL"/>
          <w:rFonts w:hint="cs" w:cs="FrankRuehl"/>
          <w:szCs w:val="26"/>
          <w:rtl/>
        </w:rPr>
        <w:tab/>
        <w:t xml:space="preserve">תקציב הקרן יחולק לפי תקנות אלה, לרשות מקומית שהתקיימו בה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האשכול במדרג החברתי-כלכלי של הרשות המקומית אינו עולה על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ההכנסה הנורמטיבית לנפש מארנונה כללית ברשות המקומית נמוכה מההכנסה הנורמטיבית לנפש אשר 60% מכלל הרשויות המקומיות מצויות מתחתיה, ולעניין רשות מקומית שהיא מועצה אזורית – נמוכה ממכפלת ההכנסה האמורה פי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שיעור הארנונה האחרת של הרשות המקומית נמוך מ-65%;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שיעור הגירעון המצטבר של הרשות אינו עולה על 30% או שהרשות נמצאת בתוכנית הבראה;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שיעור הגירעון השוטף של הרשות באחד לפחות משלושת הדוחות המבוקרים האחרונים לא עלה על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חל עליה סעיף 3 לפקודת מסי העירייה ומסי הממשלה (פיטורין), 1938;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הרשות המקומית לא הוכרזה עירייה איתנה לפי סימן ד' לפרק 11 לפקודת העיריות או לא הוכרזה מועצה מקומית איתנה לפי סעיף 34 לפקודת המועצות המקומיות; תנאי זה לא יחול לגבי תקנה 8.</w:t>
      </w:r>
    </w:p>
    <w:p>
      <w:pPr>
        <w:bidi/>
        <w:spacing w:before="70" w:after="5" w:line="250" w:lineRule="auto"/>
        <w:jc w:val="center"/>
      </w:pPr>
      <w:defaultTabStop w:val="720"/>
      <w:r>
        <w:rPr>
          <w:lang w:bidi="he-IL"/>
          <w:rFonts w:hint="cs" w:cs="FrankRuehl"/>
          <w:szCs w:val="26"/>
          <w:b/>
          <w:bCs/>
          <w:rtl/>
        </w:rPr>
        <w:t xml:space="preserve">פרק ב':הקצאה כללית</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הקצאה לפי היקף שטחי ארנונה אחרת לתושב</w:t>
                </w:r>
              </w:p>
            </w:txbxContent>
          </v:textbox>
        </v:rect>
      </w:pict>
      <w:r>
        <w:rPr>
          <w:lang w:bidi="he-IL"/>
          <w:rFonts w:hint="cs" w:cs="FrankRuehl"/>
          <w:szCs w:val="34"/>
          <w:rtl/>
        </w:rPr>
        <w:t xml:space="preserve">3.</w:t>
      </w:r>
      <w:r>
        <w:rPr>
          <w:lang w:bidi="he-IL"/>
          <w:rFonts w:hint="cs" w:cs="FrankRuehl"/>
          <w:szCs w:val="26"/>
          <w:rtl/>
        </w:rPr>
        <w:tab/>
        <w:t xml:space="preserve">30% מתקציב הקרן יחולק לרשויות מקומיות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לכל רשות מקומית יינתן מקדם העדפה לפי היקף שטחי ארנונה אחרת לתושב ברשות המקומית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לרשויות מקומיות, למעט מועצות אזוריות, שמספר התושבים בהן אינו עולה על 20,000 – לרשות עם ההיקף הנמוך ביותר יינתן מקדם של 20 ולרשות עם ההיקף הגבוה ביותר יינתן מקדם של 10 ולכל רשות אחרת יינתן מקדם לפי המיקום היחסי של ההיקף באותה רשות ביחס להיקף ברשויות האמורות;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לרשויות מקומיות, למעט מועצות אזוריות, שמספר התושבים בהן עולה על 20,000 – לרשות עם ההיקף הנמוך ביותר יינתן מקדם של 40 ולרשות עם ההיקף הגבוה ביותר יינתן מקדם של 20 ולכל רשות אחרת יינתן מקדם לפי המיקום היחסי של ההיקף באותה רשות ביחס להיקף ברשויות האמורות;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למועצות אזוריות – למועצה עם ההיקף הנמוך ביותר יינתן מקדם של 60 ולמועצה עם ההיקף הגבוה ביותר יינתן מקדם של 30, ולכל מועצה אחרת יינתן מקדם לפי המיקום היחסי של ההיקף באותה מועצה, ביחס להיקף במועצות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לכל רשות מקומית יינתן ניקוד שהוא מכפלת מספר התושבים המשוקלל ברשות המקומית במקדם ההעדפה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רשות מקומית זכאית לחלק היחסי מתקציב הקרן לפי תקנה זו, השווה ליחס שבין מספר הנקודות שקיבלה הרשות המקומית לפי תקנה זו ובין מספר הנקודות הכולל של כל הרשויות המקומיות לפי תקנה זו.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הקצאה לפי חיוב ארנונה אחרת לתושב</w:t>
                </w:r>
              </w:p>
            </w:txbxContent>
          </v:textbox>
        </v:rect>
      </w:pict>
      <w:r>
        <w:rPr>
          <w:lang w:bidi="he-IL"/>
          <w:rFonts w:hint="cs" w:cs="FrankRuehl"/>
          <w:szCs w:val="34"/>
          <w:rtl/>
        </w:rPr>
        <w:t xml:space="preserve">4.</w:t>
      </w:r>
      <w:r>
        <w:rPr>
          <w:lang w:bidi="he-IL"/>
          <w:rFonts w:hint="cs" w:cs="FrankRuehl"/>
          <w:szCs w:val="26"/>
          <w:rtl/>
        </w:rPr>
        <w:tab/>
        <w:t xml:space="preserve">50% מתקציב הקרן יחולק לרשויות מקומיות שחיוב הארנונה האחרת לתושב בהן נמוך מהחיוב כאמור אשר 40% מכלל הרשויות המקומיות מצויות מעליו, באופן המפורט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לרשות עם החיוב הנמוך ביותר יינתן מקדם של 100, לרשות עם החיוב הגבוה ביותר יינתן מקדם של 50, ולכל רשות אחרת יינתן מקדם לפי המיקום היחסי של החיוב באותה רשות, ביחס לחיוב ברשויות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לכל רשות מקומית יינתן ניקוד שהוא מכפלת מספר התושבים המשוקלל ברשות המקומית, במקדם ההעדפה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רשות מקומית זכאית לחלק היחסי מתקציב הקרן לפי תקנה זו, השווה ליחס שבין מספר הנקודות שקיבלה הרשות המקומית לפי תקנה זו ובין מספר הנקודות הכולל של כל הרשויות המקומיות לפי תקנה זו.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הקצאה לפי הכנסה נורמטיבית לנפש מארנונה כללית</w:t>
                </w:r>
              </w:p>
            </w:txbxContent>
          </v:textbox>
        </v:rect>
      </w:pict>
      <w:r>
        <w:rPr>
          <w:lang w:bidi="he-IL"/>
          <w:rFonts w:hint="cs" w:cs="FrankRuehl"/>
          <w:szCs w:val="34"/>
          <w:rtl/>
        </w:rPr>
        <w:t xml:space="preserve">5.</w:t>
      </w:r>
      <w:r>
        <w:rPr>
          <w:lang w:bidi="he-IL"/>
          <w:rFonts w:hint="cs" w:cs="FrankRuehl"/>
          <w:szCs w:val="26"/>
          <w:rtl/>
        </w:rPr>
        <w:tab/>
        <w:t xml:space="preserve">20% מתקציב הקרן יחולק לרשויות מקומיות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לכל רשות מקומית יינתן מקדם העדפה לפי ההכנסה הנורמטיבית לנפש מארנונה כללית ברשות המקומית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לרשות עם ההכנסה הנמוכה ביותר יינתן מקדם של 100;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לרשות עם ההכנסה הגבוהה ביותר יינתן מקדם של 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לכל רשות שאינה כמפורט בפסקאות משנה (א) ו-(ב) – יינתן מקדם לפי המיקום היחסי של ההכנסה באותה רשות, ביחס להכנסה ברשויות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לכל רשות מקומית יינתן ניקוד שהוא מכפלת מספר התושבים המשוקלל ברשות המקומית במקדם ההעדפה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רשות מקומית זכאית לחלק היחסי מתקציב הקרן לפי תקנה זו, השווה ליחס שבין מספר הנקודות שקיבלה הרשות המקומית לפי תקנה זו ובין מספר הנקודות הכולל של כל הרשויות המקומיות לפי תקנה זו.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הוספה או הפחתה בשל אשכול פריפריאליות</w:t>
                </w:r>
              </w:p>
            </w:txbxContent>
          </v:textbox>
        </v:rect>
      </w:pict>
      <w:r>
        <w:rPr>
          <w:lang w:bidi="he-IL"/>
          <w:rFonts w:hint="cs" w:cs="FrankRuehl"/>
          <w:szCs w:val="34"/>
          <w:rtl/>
        </w:rPr>
        <w:t xml:space="preserve">6.</w:t>
      </w:r>
      <w:r>
        <w:rPr>
          <w:lang w:bidi="he-IL"/>
          <w:rFonts w:hint="cs" w:cs="FrankRuehl"/>
          <w:szCs w:val="26"/>
          <w:rtl/>
        </w:rPr>
        <w:tab/>
        <w:t xml:space="preserve">על הסכומים המגיעים לרשות מקומית לפי תקנות 3 עד 5 ייווספו, או יופחתו מהם, סכומים בשיעור לפי אשכול הפריפריאליות של הרשות המקומית לפי הטבלה שבתוספת השלישית.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ההקצאה</w:t>
                </w:r>
              </w:p>
            </w:txbxContent>
          </v:textbox>
        </v:rect>
      </w:pict>
      <w:r>
        <w:rPr>
          <w:lang w:bidi="he-IL"/>
          <w:rFonts w:hint="cs" w:cs="FrankRuehl"/>
          <w:szCs w:val="34"/>
          <w:rtl/>
        </w:rPr>
        <w:t xml:space="preserve">7.</w:t>
      </w:r>
      <w:r>
        <w:rPr>
          <w:lang w:bidi="he-IL"/>
          <w:rFonts w:hint="cs" w:cs="FrankRuehl"/>
          <w:szCs w:val="26"/>
          <w:rtl/>
        </w:rPr>
        <w:tab/>
        <w:t xml:space="preserve">מהסכומים המגיעים לרשות מקומית לפי תקנות 3 עד 6, יופחתו סכומים בסך כל השיעורים לפי שיעור הגירעון המצטבר של הרשות המקומית לפי טבלה 1 שבתוספת הרביעית, לפי שיעור גביית הארנונה ברשות המקומית לפי טבלה 2 שבתוספת האמורה ולפי שיעור הגירעון השוטף של הרשות המקומית לפי טבלה 3 שבתוספת האמורה, ובלבד ששיעור ההפחתה הכולל לא יעלה על 75%.</w:t>
      </w:r>
    </w:p>
    <w:p>
      <w:pPr>
        <w:bidi/>
        <w:spacing w:before="70" w:after="5" w:line="250" w:lineRule="auto"/>
        <w:jc w:val="center"/>
      </w:pPr>
      <w:defaultTabStop w:val="720"/>
      <w:r>
        <w:rPr>
          <w:lang w:bidi="he-IL"/>
          <w:rFonts w:hint="cs" w:cs="FrankRuehl"/>
          <w:szCs w:val="26"/>
          <w:b/>
          <w:bCs/>
          <w:rtl/>
        </w:rPr>
        <w:t xml:space="preserve">פרק ג':הקצאה נוספת לפי נתוני עלייה וביטול ההכרזה כ"עיר עולים"</w:t>
      </w:r>
      <w:bookmarkStart w:name="h10" w:id="10"/>
      <w:bookmarkEnd w:id="10"/>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לגבי עולים</w:t>
                </w:r>
              </w:p>
            </w:txbxContent>
          </v:textbox>
        </v:rect>
      </w:pict>
      <w:r>
        <w:rPr>
          <w:lang w:bidi="he-IL"/>
          <w:rFonts w:hint="cs" w:cs="FrankRuehl"/>
          <w:szCs w:val="34"/>
          <w:rtl/>
        </w:rPr>
        <w:t xml:space="preserve">8.</w:t>
      </w:r>
      <w:r>
        <w:rPr>
          <w:lang w:bidi="he-IL"/>
          <w:rFonts w:hint="cs" w:cs="FrankRuehl"/>
          <w:szCs w:val="26"/>
          <w:rtl/>
        </w:rPr>
        <w:tab/>
        <w:t xml:space="preserve">סעיף 24(ב)(1)(ג) לחוק יחול על רשות מקומית שמתקיים בה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האשכול במדרג החברתי-כלכלי שלה הוא 1 עד 5 ושיעור העולים בה עולה על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האשכול במדרג החברתי-כלכלי שלה הוא 6 עד 7 ושיעור העולים בה עולה על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מספר התושבים בה שהם עולים מאתיופיה עולה על 100.</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הקצאה לפי שיעור העולים</w:t>
                </w:r>
              </w:p>
            </w:txbxContent>
          </v:textbox>
        </v:rect>
      </w:pict>
      <w:r>
        <w:rPr>
          <w:lang w:bidi="he-IL"/>
          <w:rFonts w:hint="cs" w:cs="FrankRuehl"/>
          <w:szCs w:val="34"/>
          <w:rtl/>
        </w:rPr>
        <w:t xml:space="preserve">9.</w:t>
      </w:r>
      <w:r>
        <w:rPr>
          <w:lang w:bidi="he-IL"/>
          <w:rFonts w:hint="cs" w:cs="FrankRuehl"/>
          <w:szCs w:val="26"/>
          <w:rtl/>
        </w:rPr>
        <w:tab/>
        <w:t xml:space="preserve">נוסף על ההקצאות הכלליות שיחולקו לפי פרק ב', 7.5 מיליון שקלים חדשים מתקציב הקרן יחולקו לרשויות מקומיות שמתקיים בהן התנאי האמור בתקנה 8(1) או (2), והכול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לכל רשות מקומית יינתן מקדם העדפה לפי אשכול הפריפריאליות של הרשות המקומית לפי טבלה 2 שבתוספת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לכל רשות מקומית כאמור יינתן ניקוד שהוא מכפלת שיעור העולים ברשות במקדם ההעדפה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רשות מקומית זכאית לחלק היחסי מתקציב הקרן לפי תקנה זו, השווה ליחס שבין מספר הנקודות שקיבלה הרשות המקומית לפי תקנה זו ובין למספר הנקודות הכולל של כל הרשויות המקומיות לפי תקנה זו.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הקצאה לפי מספר התושבים שהם עולים מאתיופיה</w:t>
                </w:r>
              </w:p>
            </w:txbxContent>
          </v:textbox>
        </v:rect>
      </w:pict>
      <w:r>
        <w:rPr>
          <w:lang w:bidi="he-IL"/>
          <w:rFonts w:hint="cs" w:cs="FrankRuehl"/>
          <w:szCs w:val="34"/>
          <w:rtl/>
        </w:rPr>
        <w:t xml:space="preserve">10.</w:t>
      </w:r>
      <w:r>
        <w:rPr>
          <w:lang w:bidi="he-IL"/>
          <w:rFonts w:hint="cs" w:cs="FrankRuehl"/>
          <w:szCs w:val="26"/>
          <w:rtl/>
        </w:rPr>
        <w:tab/>
        <w:t xml:space="preserve">נוסף על ההקצאות הכלליות שיחולקו לפי פרק ב', 7.5 מיליון שקלים חדשים מתקציב הקרן יחולקו לרשויות מקומיות שמתקיים בהן התנאי האמור בתקנה 8(3), והכול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לכל רשות מקומית יינתן מקדם העדפה לפי אשכול הפריפריאליות של הרשות המקומית לפי טבלה 2 שבתוספת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לכל רשות מקומית כאמור יינתן ניקוד שהוא מכפלת מספר העולים מאתיופיה ברשות במקדם ההעדפה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רשות מקומית זכאית לחלק היחסי מתקציב הקרן לפי תקנה זו, השווה ליחס שבין מספר הנקודות שקיבלה הרשות המקומית לפי תקנה זו ובין מספר הנקודות הכולל של כל הרשויות המקומיות לפי תקנה זו.</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הקצאה בשל עיוותים כלכליים וביטול ההכרזה כ"עיר עולים"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נוסף על ההקצאות הכלליות שיחולקו לפי פרק ב', 15 מיליון שקלים חדשים מתקציב הקרן יחולקו לרשויות מקומיות שמתקיימים בהן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בוטלה ההכרזה על הרשות המקומית כעל עיר עולים והיא הייתה זכאית להקצאת תקציב הקרן לפי סעיף 25(א)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האשכול במדרג החברתי-כלכלי של הרשות המקומית אינו עולה על 6 והאשכול במדד הפריפריאליות של הרשות המקומית אינו עולה על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שיעור הירידה בסך כל החיוב התקופתי בין הדוח המבוקר לשנת 2016 לבין הדוח המבוקר לשנת 2017 גבוה מ-25% או ששיעור העלייה בשיעור הפטורים בין הדוח המבוקר לשנת 2016 לבין הדוח המבוקר לשנת 2017 גבוה מ-10%; לעניין זה, "שיעור הפטורים" – המנה המתקבלת מחלוקת סך כל הפטורים בשל ארנונה אחרת לפי הדוח המבוקר, בסך כל החיובים בשל ארנונה אחרת לפי הדוח המבוקר;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מתקיים בה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ההכנסות לתושב לפי הדוח המבוקר האחרון נמוכות מההכנסות לתושב לפי הדוח המבוקר לשנת 2017 או מההכנסות כאמור לפי הדוח המבוקר לשנת 2018;</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ממוצע שיעורי העלייה השנתיים של ההכנסות לתושב ברשות המקומית לפי הדוחות המבוקרים, החל בדוח המבוקר לשנת 2017 עד הדוח המבוקר האחרון או החל בדוח המבוקר לשנת 2018 עד הדוח המבוקר האחרון – הנמוך מהשניים, נמוך מממוצע שיעורי העלייה כאמור החל מהדוח המבוקר לשנת 2012 עד הדוח המבוקר לשנת 2016.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רשות מקומית שהתקיימו בה התנאים בתקנת משנה (א) יינתנו מקדמי העדפה לפי אשכול במדרג החברתי-כלכלי ולפי אשכול הפריפריאליות לפי טבלה 1 שבתוספת החמישית ולפי הכנסות לתושב לפי טבלה 2 שבתוספת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לכל רשות מקומית כאמור יינתן ניקוד שהוא מכפלת מספר התושבים המשוקלל ברשות המקומית בסכום מקדמי ההעדפה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רשות מקומית זכאית לחלק היחסי מתקציב הקרן לפי תקנה זו, השווה ליחס שבין מספר הנקודות שקיבלה הרשות המקומית לפי תקנה זו ובין מספר הנקודות הכולל של כל הרשויות המקומיות לפי תקנה זו.</w:t>
      </w:r>
    </w:p>
    <w:p>
      <w:pPr>
        <w:bidi/>
        <w:spacing w:before="70" w:after="5" w:line="250" w:lineRule="auto"/>
        <w:jc w:val="center"/>
      </w:pPr>
      <w:defaultTabStop w:val="720"/>
      <w:r>
        <w:rPr>
          <w:lang w:bidi="he-IL"/>
          <w:rFonts w:hint="cs" w:cs="FrankRuehl"/>
          <w:szCs w:val="26"/>
          <w:b/>
          <w:bCs/>
          <w:rtl/>
        </w:rPr>
        <w:t xml:space="preserve">פרק ד':שונות</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התאמה לתקציב</w:t>
                </w:r>
              </w:p>
            </w:txbxContent>
          </v:textbox>
        </v:rect>
      </w:pict>
      <w:r>
        <w:rPr>
          <w:lang w:bidi="he-IL"/>
          <w:rFonts w:hint="cs" w:cs="FrankRuehl"/>
          <w:szCs w:val="34"/>
          <w:rtl/>
        </w:rPr>
        <w:t xml:space="preserve">12.</w:t>
      </w:r>
      <w:r>
        <w:rPr>
          <w:lang w:bidi="he-IL"/>
          <w:rFonts w:hint="cs" w:cs="FrankRuehl"/>
          <w:szCs w:val="26"/>
          <w:rtl/>
        </w:rPr>
        <w:tab/>
        <w:t xml:space="preserve">עלה הסכום הכולל לתשלום לפי תקנות אלה על תקציב הקרן או פחת ממנו, יופחתו או ייווספו, בהתאמה, הסכומים שלהם זכאית כל רשות מקומית לפי פרק ב' בשיעור שווה כך שהסכום הכולל שישולם יהיה זהה לתקציב הקרן.</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כספים לפי זכאות בשנה קודמת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רשות מקומית תהיה זכאית לסכום לפי תקנות 2 עד 12 או למחצית הסכום שלו הייתה זכאית לפי תקנות ההתייעלות הכלכלית (כללי חלוקת הקרן לצמצום פערים בין רשויות מקומיות) (הוראת שעה), התשפ"ב-2021 – לפי הגבוה מהשניים.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עלה או פחת הסכום הכולל כאמור בתקנה 12 בשל חלוקת כספים לפי תקנת משנה (א), ייערכו חישובים כאמור בתקנה 12 ובתקנת משנה (א) עד שהסכום הכולל לפי תקנות אלה יהיה זהה לתקציב הקרן.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אופן החישוב וההקצאה</w:t>
                </w:r>
              </w:p>
            </w:txbxContent>
          </v:textbox>
        </v:rect>
      </w:pict>
      <w:r>
        <w:rPr>
          <w:lang w:bidi="he-IL"/>
          <w:rFonts w:hint="cs" w:cs="FrankRuehl"/>
          <w:szCs w:val="34"/>
          <w:rtl/>
        </w:rPr>
        <w:t xml:space="preserve">14.</w:t>
      </w:r>
      <w:r>
        <w:rPr>
          <w:lang w:bidi="he-IL"/>
          <w:rFonts w:hint="cs" w:cs="FrankRuehl"/>
          <w:szCs w:val="26"/>
          <w:rtl/>
        </w:rPr>
        <w:tab/>
        <w:t xml:space="preserve">המנהל הכללי של משרד הפנים יפרסם באתר האינטרנט של משרד הפנים קובץ ממוכן, ובו יפורטו הקצאת תקציב הקרן ודרך החישוב של ההקצאה לפי כל תקנה מתקנות אלה לכל רשות מקומית.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15.</w:t>
      </w:r>
      <w:r>
        <w:rPr>
          <w:lang w:bidi="he-IL"/>
          <w:rFonts w:hint="cs" w:cs="FrankRuehl"/>
          <w:szCs w:val="26"/>
          <w:rtl/>
        </w:rPr>
        <w:tab/>
        <w:t xml:space="preserve">תקנות אלה יחולו על חלוקת כספי הקרן לגבי שנת 2022.</w:t>
      </w:r>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 – ההגדרה "הכנסה נורמטיבית לנפש מארנונה כללית")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a4b72802c044c1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585d3f51923432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53998d87fb444f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98950cace614b3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7fbe557b884456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a10326acc524ed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fd6509be7c6457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29277aa527148f7">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(תקנות 1, 9 ו-10)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3bbcd9449ec4da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95d5b8440354b3d">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2" w:id="22"/>
      <w:bookmarkEnd w:id="2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6)</w:t>
      </w:r>
    </w:p>
    <w:p>
      <w:pPr>
        <w:bidi/>
        <w:spacing w:before="45" w:after="5" w:line="250" w:lineRule="auto"/>
        <w:jc w:val="center"/>
      </w:pPr>
      <w:defaultTabStop w:val="720"/>
      <w:r>
        <w:rPr>
          <w:lang w:bidi="he-IL"/>
          <w:rFonts w:hint="cs" w:cs="FrankRuehl"/>
          <w:szCs w:val="26"/>
          <w:rtl/>
        </w:rPr>
        <w:t xml:space="preserve">שיעור הוספה או הפחתה לפי אשכול במדד הפריפריאליות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8bbc7abd31047fd">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3" w:id="23"/>
      <w:bookmarkEnd w:id="23"/>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9c8f72a2b83463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db0a9d17a8e416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3fd5f4d541346de">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(תקנה 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5c7d7bab9c544a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6de9c456494408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ההתייעלות הכלכלית (כללי חלוקת הקרן לצמצום פערים בין רשויות מקומיות לשנת 2022) (הוראת שעה),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d37702317564da9" /><Relationship Type="http://schemas.openxmlformats.org/officeDocument/2006/relationships/hyperlink" Target="https://www.nevo.co.il/laws/#/63ad551526a4e377ad7f1633/clause/63ad8fbc26a4e377ad7f1940" TargetMode="External" Id="R8a4b72802c044c18" /><Relationship Type="http://schemas.openxmlformats.org/officeDocument/2006/relationships/hyperlink" Target="https://www.nevo.co.il/laws/#/63ad551526a4e377ad7f1633/clause/63ad913526a4e377ad7f1944" TargetMode="External" Id="Ra585d3f51923432a" /><Relationship Type="http://schemas.openxmlformats.org/officeDocument/2006/relationships/hyperlink" Target="https://www.nevo.co.il/laws/#/63ad551526a4e377ad7f1633/clause/63ad91ea26a4e377ad7f1948" TargetMode="External" Id="R253998d87fb444f3" /><Relationship Type="http://schemas.openxmlformats.org/officeDocument/2006/relationships/hyperlink" Target="https://www.nevo.co.il/laws/#/63ad551526a4e377ad7f1633/clause/63ad933a26a4e377ad7f194c" TargetMode="External" Id="R198950cace614b37" /><Relationship Type="http://schemas.openxmlformats.org/officeDocument/2006/relationships/hyperlink" Target="https://www.nevo.co.il/laws/#/63ad551526a4e377ad7f1633/clause/63ad939d26a4e377ad7f1950" TargetMode="External" Id="R17fbe557b8844568" /><Relationship Type="http://schemas.openxmlformats.org/officeDocument/2006/relationships/hyperlink" Target="https://www.nevo.co.il/laws/#/63ad551526a4e377ad7f1633/clause/63ad945326a4e377ad7f1954" TargetMode="External" Id="R3a10326acc524edf" /><Relationship Type="http://schemas.openxmlformats.org/officeDocument/2006/relationships/hyperlink" Target="https://www.nevo.co.il/laws/#/63ad551526a4e377ad7f1633/clause/63ad952026a4e377ad7f1958" TargetMode="External" Id="R1fd6509be7c6457d" /><Relationship Type="http://schemas.openxmlformats.org/officeDocument/2006/relationships/hyperlink" Target="https://www.nevo.co.il/laws/#/63ad551526a4e377ad7f1633/clause/63ad975f26a4e377ad7f195c" TargetMode="External" Id="R929277aa527148f7" /><Relationship Type="http://schemas.openxmlformats.org/officeDocument/2006/relationships/hyperlink" Target="https://www.nevo.co.il/laws/#/63ad551526a4e377ad7f1633/clause/63ad9a0d26a4e377ad7f1963" TargetMode="External" Id="R43bbcd9449ec4da9" /><Relationship Type="http://schemas.openxmlformats.org/officeDocument/2006/relationships/hyperlink" Target="https://www.nevo.co.il/laws/#/63ad551526a4e377ad7f1633/clause/63ad9a8426a4e377ad7f1967" TargetMode="External" Id="Rb95d5b8440354b3d" /><Relationship Type="http://schemas.openxmlformats.org/officeDocument/2006/relationships/hyperlink" Target="https://www.nevo.co.il/laws/#/63ad551526a4e377ad7f1633/clause/63ad9ac226a4e377ad7f196e" TargetMode="External" Id="R38bbc7abd31047fd" /><Relationship Type="http://schemas.openxmlformats.org/officeDocument/2006/relationships/hyperlink" Target="https://www.nevo.co.il/laws/#/63ad551526a4e377ad7f1633/clause/63ad9ccd26a4e377ad7f1975" TargetMode="External" Id="Rf9c8f72a2b83463d" /><Relationship Type="http://schemas.openxmlformats.org/officeDocument/2006/relationships/hyperlink" Target="https://www.nevo.co.il/laws/#/63ad551526a4e377ad7f1633/clause/63ad9dad26a4e377ad7f1979" TargetMode="External" Id="R8db0a9d17a8e416f" /><Relationship Type="http://schemas.openxmlformats.org/officeDocument/2006/relationships/hyperlink" Target="https://www.nevo.co.il/laws/#/63ad551526a4e377ad7f1633/clause/63ad9ea226a4e377ad7f197d" TargetMode="External" Id="R63fd5f4d541346de" /><Relationship Type="http://schemas.openxmlformats.org/officeDocument/2006/relationships/hyperlink" Target="https://www.nevo.co.il/laws/#/63ad551526a4e377ad7f1633/clause/63ad9f7326a4e377ad7f1984" TargetMode="External" Id="Rd5c7d7bab9c544a7" /><Relationship Type="http://schemas.openxmlformats.org/officeDocument/2006/relationships/hyperlink" Target="https://www.nevo.co.il/laws/#/63ad551526a4e377ad7f1633/clause/63ad9fe526a4e377ad7f1988" TargetMode="External" Id="R16de9c4564944080" /><Relationship Type="http://schemas.openxmlformats.org/officeDocument/2006/relationships/header" Target="/word/header1.xml" Id="r97" /><Relationship Type="http://schemas.openxmlformats.org/officeDocument/2006/relationships/footer" Target="/word/footer1.xml" Id="r98" /></Relationships>
</file>