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36821f88ce4ca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(סוגים נוספים של חברות שבהן ניתן למנות דירקטורים חיצוניים שאינם תושבי ישראל),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חברה שעיקר פעילותה מחוץ לישראל</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החברות (סוגים נוספים של חברות שבהן ניתן למנות דירקטורים חיצוניים שאינם תושבי ישראל),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240(א) ו-366 לחוק החברות, התשנ"ט-1999 (להלן – החוק), בהתייעצות עם רשות ניירות ערך,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חברה שעיקר פעילותה מחוץ לישראל</w:t>
                </w:r>
              </w:p>
            </w:txbxContent>
          </v:textbox>
        </v:rect>
      </w:pict>
      <w:r>
        <w:rPr>
          <w:lang w:bidi="he-IL"/>
          <w:rFonts w:hint="cs" w:cs="FrankRuehl"/>
          <w:szCs w:val="34"/>
          <w:rtl/>
        </w:rPr>
        <w:t xml:space="preserve">1.</w:t>
      </w:r>
      <w:r>
        <w:rPr>
          <w:lang w:bidi="he-IL"/>
          <w:rFonts w:hint="cs" w:cs="FrankRuehl"/>
          <w:szCs w:val="26"/>
          <w:rtl/>
        </w:rPr>
        <w:tab/>
        <w:t xml:space="preserve">חברה שעיקר פעילותה מחוץ לישראל רשאית למנות דירקטורים חיצוניים שאינם תושבי ישראל, אף אם לא מתקיים בה האמור בסעיף 240(א) לחוק, אם דירקטוריון החברה אישר שהתקיימו כל אלה לגבי כל 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מאפייני פעילותה של החברה מצדיקים מינוי דירקטור חיצוני שאינו תושב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יהיה בכך שהדירקטור אינו תושב ישראל כדי לפגוע ביכולתו להיות נוכח בישיבות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לדירקטור החיצוני כתובת למסירת מסמכי בי-דין בישראל.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(סוגים נוספים של חברות שבהן ניתן למנות דירקטורים חיצוניים שאינם תושבי ישראל),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3901c85b31b4790" /><Relationship Type="http://schemas.openxmlformats.org/officeDocument/2006/relationships/header" Target="/word/header1.xml" Id="r97" /><Relationship Type="http://schemas.openxmlformats.org/officeDocument/2006/relationships/footer" Target="/word/footer1.xml" Id="r98" /></Relationships>
</file>