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a66cc97911b4f7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(שינוי החלטה שפורטה בהודעה על אסיפה כללית), תשס"ד-2004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החלטה שונה מהנוסח שפורט בהודעה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החברות (שינוי החלטה שפורטה בהודעה על אסיפה כללית), 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70 ו-366 לחוק החברות, התשנ"ט-1999,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"אסיפה כללית" – לרבות אסיפת סוג;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 הזמנה או הודעה על אסיפה כללית.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החלטה שונה מהנוסח שפורט בהודעה</w:t>
                </w:r>
              </w:p>
            </w:txbxContent>
          </v:textbox>
        </v:rect>
      </w:pict>
      <w:r>
        <w:rPr>
          <w:lang w:bidi="he-IL"/>
          <w:rFonts w:hint="cs" w:cs="FrankRuehl"/>
          <w:szCs w:val="34"/>
          <w:rtl/>
        </w:rPr>
        <w:t xml:space="preserve">2.</w:t>
      </w:r>
      <w:r>
        <w:rPr>
          <w:lang w:bidi="he-IL"/>
          <w:rFonts w:hint="cs" w:cs="FrankRuehl"/>
          <w:szCs w:val="26"/>
          <w:rtl/>
        </w:rPr>
        <w:tab/>
        <w:t xml:space="preserve">פורט בהודעה נוסח של החלטה או שנכללה בה תמצית החלטה והפניה לנוסח המלא של ההחלטה, שעל סדר יומה של האסיפה הכללית, רשאית האסיפה הכללית לקבל החלטה שונה מנוסח ההחלטה שפורט כאמור אם השינוי הוא שינוי זניח או אם יש בו רק כדי לזכות את החברה לעומת נוסח ההחלטה שפורט כאמור.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(טומי) לפיד</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(שינוי החלטה שפורטה בהודעה על אסיפה כללית), תשס"ד-2004,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ea85832bd6e4890" /><Relationship Type="http://schemas.openxmlformats.org/officeDocument/2006/relationships/header" Target="/word/header1.xml" Id="r97" /><Relationship Type="http://schemas.openxmlformats.org/officeDocument/2006/relationships/footer" Target="/word/footer1.xml" Id="r98" /></Relationships>
</file>