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3edadfb5b4461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(תקופת תוקף החלטה לפי סעיף 121 לחוק),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החלטה לפי סעיף 121(ג) או (ד) לחוק לגבי חברה המציעה לראשונה ניירות ערך שלה לציבור</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החברות (תקופת תוקף החלטה לפי סעיף 121 לחוק),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121(ה) ו-366 לחוק החברות, התשנ"ט-1999 (להלן – החוק), בהתייעצות עם רשות ניירות ערך,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החלטה לפי סעיף 121(ג) או (ד) לחוק לגבי חברה המציעה לראשונה ניירות ערך שלה לציבור</w:t>
                </w:r>
              </w:p>
            </w:txbxContent>
          </v:textbox>
        </v:rect>
      </w:pict>
      <w:r>
        <w:rPr>
          <w:lang w:bidi="he-IL"/>
          <w:rFonts w:hint="cs" w:cs="FrankRuehl"/>
          <w:szCs w:val="34"/>
          <w:rtl/>
        </w:rPr>
        <w:t xml:space="preserve">1.</w:t>
      </w:r>
      <w:r>
        <w:rPr>
          <w:lang w:bidi="he-IL"/>
          <w:rFonts w:hint="cs" w:cs="FrankRuehl"/>
          <w:szCs w:val="26"/>
          <w:rtl/>
        </w:rPr>
        <w:tab/>
        <w:t xml:space="preserve">תוקף החלטה לפי סעיף 121(ג) או (ד) לחוק, לפי העניין, שהתקבלה בחברה לאחר שהציעה לראשונה ניירות ערך שלה לציבור, או שהחברה תיארה אותה בתשקיף או במסמך ההצעה לציבור, יהיה לתקופה שלא תעלה על חמש שנים מהמועד שבו הפכה החברה מחברה פרטית לחברה ציבורית או לחברה פרטית שהיא חברת איגרות חוב, לפי העניין.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(תקופת תוקף החלטה לפי סעיף 121 לחוק),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44c9fcb447a443a" /><Relationship Type="http://schemas.openxmlformats.org/officeDocument/2006/relationships/header" Target="/word/header1.xml" Id="r97" /><Relationship Type="http://schemas.openxmlformats.org/officeDocument/2006/relationships/footer" Target="/word/footer1.xml" Id="r98" /></Relationships>
</file>