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c494ed5664a2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הממשלתיות (הצהרת רכוש של מנהל כללי),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הגשת הצהרה על רכוש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טופס ההצהרה ודרכיה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המעטפות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החברות הממשלתיות (הצהרת רכוש של מנהל כללי),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38 ו-71 לחוק החברות הממשלתיות, תשל"ה-1975,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הגשת הצהרה על רכוש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מנהל כללי יגיש הצהרה לפי סעיף 38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אם התמנה לפני תחילת החוק – לא יאוחר מיום כ"ט באדר א' תשל"ו (1 במרס 1976);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אם התמנה לאחר תחילת החוק – תוך שלושים יום מיום מינויו.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טופס ההצהרה ודרכיה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ההצהרה תיערך לפי הנוסח שבתוספת ותוגש על ידי המנהל הכללי ליושב ראש הדירקטוריון במעטפה סגורה, שעליה יחתום המנהל הכללי בנוכחות היושב ראש; היושב ראש יטביע עליה חותמת החברה, יוסיף חתימתו ויציין את התאריך.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חלו שינויים מהותיים בנתונים שעליהם הוצהר כאמור בתקנה 2, יגיש המנהל הכללי הצהרה חדשה בדרך ובצורה שנקבעו בתקנה 2, תוך שלושים יום מאירוע השינוי.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המעטפות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הצהרות יישמרו במעטפות הסגורות במקום נעול שקבע יושב ראש הדירקטוריון; מותר לפתוח מעטפה רק לפי הוראות היועץ המשפטי לממשלה או בית משפט.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החברות הממשלתיות (הצהרת רכוש של מנהל כללי), תשל"ו-1976".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67a41fcfb7b44156">
        <w:r>
          <w:rPr>
            <w:rStyle w:val="Hyperlink"/>
            <w:u w:val="single"/>
            <w:color w:themeColor="hyperlink"/>
          </w:rPr>
          <w:t>הצהרה על רכוש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יהושע רבינוביץ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החברות הממשלתיות (הצהרת רכוש של מנהל כללי), תשל"ו-1976,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c21ab1190b34f4b" /><Relationship Type="http://schemas.openxmlformats.org/officeDocument/2006/relationships/hyperlink" Target="https://www.nevo.co.il/lawattachments/60e892395769dc8afbf4daec/b200f9ee-d9db-4d04-a1ef-e1437d6d3b12.doc" TargetMode="External" Id="R67a41fcfb7b4415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