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db28ce84b2499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הייבוא והייצוא (ערובה למפר אמון וערובה כתנאי לשחרור מותנה),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ערובה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הערבות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הערבות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הערבות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הייבוא והייצוא (ערובה למפר אמון וערובה כתנאי לשחרור מותנה),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2א(ז) וסעיף 2ה(ב)(4) לפקודת הייבוא והייצוא [נוסח חדש], התשל"ט-1979 (להלן – הפקודה),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התקינה" – כמשמעותו בסעיף 5 לחוק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ספק" – חשבונית מס המעידה על שווי הסחורה המיובאת;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"שווי טובין" – שווייה של הסחורה המיובאת לפי חשבון ספק (INVOICE).</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ערובה</w:t>
                </w:r>
              </w:p>
            </w:txbxContent>
          </v:textbox>
        </v:rect>
      </w:pict>
      <w:r>
        <w:rPr>
          <w:lang w:bidi="he-IL"/>
          <w:rFonts w:hint="cs" w:cs="FrankRuehl"/>
          <w:szCs w:val="34"/>
          <w:rtl/>
        </w:rPr>
        <w:t xml:space="preserve">2.</w:t>
      </w:r>
      <w:r>
        <w:rPr>
          <w:lang w:bidi="he-IL"/>
          <w:rFonts w:hint="cs" w:cs="FrankRuehl"/>
          <w:szCs w:val="26"/>
          <w:rtl/>
        </w:rPr>
        <w:tab/>
        <w:t xml:space="preserve">הערובה שתידרש במסגרת סמכויות הממונה על התקינה לפי סעיפים 2א(ז) ו-2ה(ב)(4) לפקודה תהיה ערבות בנקאית או ערבות של מבטח, כהגדרתו בחוק הפיקוח על שירותים פיננסיים (ביטוח), התשמ"א-1981, שנתן לטובת המדינה, ערוכה לפני הנוסח שבתוספת.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הערבות</w:t>
                </w:r>
              </w:p>
            </w:txbxContent>
          </v:textbox>
        </v:rect>
      </w:pict>
      <w:r>
        <w:rPr>
          <w:lang w:bidi="he-IL"/>
          <w:rFonts w:hint="cs" w:cs="FrankRuehl"/>
          <w:szCs w:val="34"/>
          <w:rtl/>
        </w:rPr>
        <w:t xml:space="preserve">3.</w:t>
      </w:r>
      <w:r>
        <w:rPr>
          <w:lang w:bidi="he-IL"/>
          <w:rFonts w:hint="cs" w:cs="FrankRuehl"/>
          <w:szCs w:val="26"/>
          <w:rtl/>
        </w:rPr>
        <w:tab/>
        <w:t xml:space="preserve">סכום הערבות יהיה שלושים אחוזים משווי הטובין ובכל מקרה לא יפחת מ-1,000 שקלים חדשים.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תוקף כתב הערבות הוא 9 חודשים מיום המצאתה.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בסמכות הממונה על התקינה לדרוש את הארכת תוקף הערבות לתקופה שלא תעלה על 6 חודשים נוספים.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הערבות</w:t>
                </w:r>
              </w:p>
            </w:txbxContent>
          </v:textbox>
        </v:rect>
      </w:pict>
      <w:r>
        <w:rPr>
          <w:lang w:bidi="he-IL"/>
          <w:rFonts w:hint="cs" w:cs="FrankRuehl"/>
          <w:szCs w:val="34"/>
          <w:rtl/>
        </w:rPr>
        <w:t xml:space="preserve">5.</w:t>
      </w:r>
      <w:r>
        <w:rPr>
          <w:lang w:bidi="he-IL"/>
          <w:rFonts w:hint="cs" w:cs="FrankRuehl"/>
          <w:szCs w:val="26"/>
          <w:rtl/>
        </w:rPr>
        <w:tab/>
        <w:t xml:space="preserve">הערבות תוחזר ליבואן במקרה שבו נמצא כי קיים את ההתחייבויות שלשם הבטחת קיומן נדרש להגיש את הערבות.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הערבות</w:t>
                </w:r>
              </w:p>
            </w:txbxContent>
          </v:textbox>
        </v:rect>
      </w:pict>
      <w:r>
        <w:rPr>
          <w:lang w:bidi="he-IL"/>
          <w:rFonts w:hint="cs" w:cs="FrankRuehl"/>
          <w:szCs w:val="34"/>
          <w:rtl/>
        </w:rPr>
        <w:t xml:space="preserve">6.</w:t>
      </w:r>
      <w:r>
        <w:rPr>
          <w:lang w:bidi="he-IL"/>
          <w:rFonts w:hint="cs" w:cs="FrankRuehl"/>
          <w:szCs w:val="26"/>
          <w:rtl/>
        </w:rPr>
        <w:tab/>
        <w:t xml:space="preserve">ראה הממונה על התקינה כי היבואן אינו עומד בהתחייבויות שלשם הבטחת קיומן נדרשה הגשת הערבות, כולן או חלקן, רשאי הוא, להורות על חילוט הערובה שהמציא היבואן, כולה או מקצתה, לאחר שאפשר ליבואן להשמיע את טענותיו.</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53d837cefbd4c3c">
        <w:r>
          <w:rPr>
            <w:rStyle w:val="Hyperlink"/>
            <w:u w:val="single"/>
            <w:color w:themeColor="hyperlink"/>
          </w:rPr>
          <w:t>כתב ערבות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 כהן</w:t>
                </w:r>
              </w:p>
              <w:p>
                <w:pPr>
                  <w:bidi/>
                  <w:spacing w:before="45" w:after="3" w:line="250" w:lineRule="auto"/>
                  <w:jc w:val="center"/>
                </w:pPr>
                <w:defaultTabStop w:val="720"/>
                <w:r>
                  <w:rPr>
                    <w:lang w:bidi="he-IL"/>
                    <w:rFonts w:hint="cs" w:cs="FrankRuehl"/>
                    <w:szCs w:val="22"/>
                    <w:rtl/>
                  </w:rPr>
                  <w:t xml:space="preserve">שר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הייבוא והייצוא (ערובה למפר אמון וערובה כתנאי לשחרור מותנה),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aca7eeb7c9d41df" /><Relationship Type="http://schemas.openxmlformats.org/officeDocument/2006/relationships/hyperlink" Target="https://www.nevo.co.il/lawattachments/625d1c7c9bd2190c7cbf346f/32fd8a7f-57e1-4b1c-b89d-fa272cb9abb8.doc" TargetMode="External" Id="Rd53d837cefbd4c3c" /><Relationship Type="http://schemas.openxmlformats.org/officeDocument/2006/relationships/header" Target="/word/header1.xml" Id="r97" /><Relationship Type="http://schemas.openxmlformats.org/officeDocument/2006/relationships/footer" Target="/word/footer1.xml" Id="r98" /></Relationships>
</file>