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3112affbf0c4dc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הירושה (אגרות בתי הדין הדתיים),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לקבלת עותק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בעד בקשה לעיון בתיק בית הדין</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אגרה ששולמה בבית הדין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אגרות בעניני ירושה בתקנות בתי הדין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הירושה (אגרות בתי הדין הדתיים),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160(א)(7) לחוק הירושה, התשכ"ה-1965 (להלן – החוק), באישור שר האוצר לפי סעיף 39ב לחוק יסודות התקציב, התשמ"ה-1985, באישור ועדת החוקה חוק ומשפט של הכנסת, לפי סעיף 160(ב) לחוק,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בעד בקשות בעניני ירושה המתנהלים בבית דין דתי (להלן – בית הדין) ישולמו האגרות שנקבעו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תקובל בבית הדין בקשה, אלא אם כן שולמה האגרה.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סכומי האגרות הנקובים בתוספת ישתנו ב-1 בינואר של כל שנה (להלן – יום השינוי) לפי שיעור השינוי של המדד שפורסם בחודש נובמבר שקדם ליום השינוי לעומת המדד שפורסם בחודש נובמבר שקדם ליום השינוי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אגרה שהשתנה כאמור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הוא נמוך מ-10 שקלים חדשים – לא יעוגל;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הוא גבוה מ-10 שקלים חדשים – יעוגל לשקל החדש השלם הקרוב וסכום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יפרסם ברשומות את נוסח התוספת כפי שהשתנתה על פי האמור בתקנה זו.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w:t>
                </w:r>
              </w:p>
            </w:txbxContent>
          </v:textbox>
        </v:rect>
      </w:pict>
      <w:r>
        <w:rPr>
          <w:lang w:bidi="he-IL"/>
          <w:rFonts w:hint="cs" w:cs="FrankRuehl"/>
          <w:szCs w:val="34"/>
          <w:rtl/>
        </w:rPr>
        <w:t xml:space="preserve">3.</w:t>
      </w:r>
      <w:r>
        <w:rPr>
          <w:lang w:bidi="he-IL"/>
          <w:rFonts w:hint="cs" w:cs="FrankRuehl"/>
          <w:szCs w:val="26"/>
          <w:rtl/>
        </w:rPr>
        <w:tab/>
        <w:t xml:space="preserve">אלה פטורים מחובת תשלום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המדינה וכל מי שהורשה לייצגה כשהוא מביא הליך מכוח הרשאתו;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המוסד לביטוח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פקיד סעד של רשות מקומית כשהוא מביא הליך מכוח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מגיש בקשה למתן צו ירושה או בקשר אליו שהוא בן זוגו, ילדו, אביו או אמו של אדם שנפטר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עקב פעולות מלחמה אחרי יום ט"ז בכסלו התש"ח (29 בנובמבר 1947) או שהוא נפגע פגיעת איבה כהגדרתה בחוק התגמולים לנפגעי פעולות איבה, התש"ל-1970 (להלן – חוק נפגעי איבה), זולת אם מי שנפטר כאמור היה איש כוחות האויב כמשמעותם בסעיף 1(1) לחוק נפגעי איבה ופטירתו היתה עקב פעולה שנעשתה בשליחותם או מטעמם או לקידום מטרותיהם של כוחות האויב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בשירות צבאי כמשמעותו בסעיפים 1(א)(ב), 2(א), (ג) ו-14(ב) לחוק חיילים משוחררים (החזרה לעבודה), התש"ט-1949.</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לקבלת עותק</w:t>
                </w:r>
              </w:p>
            </w:txbxContent>
          </v:textbox>
        </v:rect>
      </w:pict>
      <w:r>
        <w:rPr>
          <w:lang w:bidi="he-IL"/>
          <w:rFonts w:hint="cs" w:cs="FrankRuehl"/>
          <w:szCs w:val="34"/>
          <w:rtl/>
        </w:rPr>
        <w:t xml:space="preserve">4.</w:t>
      </w:r>
      <w:r>
        <w:rPr>
          <w:lang w:bidi="he-IL"/>
          <w:rFonts w:hint="cs" w:cs="FrankRuehl"/>
          <w:szCs w:val="26"/>
          <w:rtl/>
        </w:rPr>
        <w:tab/>
        <w:t xml:space="preserve">כל צד לבקשה זכאי לקבל עותק אחד מאושר מהחלטת בית הדין, בלא תשלום נוסף.</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בעד בקשה לעיון בתיק בית הדין</w:t>
                </w:r>
              </w:p>
            </w:txbxContent>
          </v:textbox>
        </v:rect>
      </w:pict>
      <w:r>
        <w:rPr>
          <w:lang w:bidi="he-IL"/>
          <w:rFonts w:hint="cs" w:cs="FrankRuehl"/>
          <w:szCs w:val="34"/>
          <w:rtl/>
        </w:rPr>
        <w:t xml:space="preserve">4א.</w:t>
      </w:r>
      <w:r>
        <w:rPr>
          <w:lang w:bidi="he-IL"/>
          <w:rFonts w:hint="cs" w:cs="FrankRuehl"/>
          <w:szCs w:val="26"/>
          <w:rtl/>
        </w:rPr>
        <w:tab/>
        <w:t xml:space="preserve">לא תשולם אגרה בעד בקשה לעיון בתיק בית הדין.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אגרה ששולמה בבית הדין</w:t>
                </w:r>
              </w:p>
            </w:txbxContent>
          </v:textbox>
        </v:rect>
      </w:pict>
      <w:r>
        <w:rPr>
          <w:lang w:bidi="he-IL"/>
          <w:rFonts w:hint="cs" w:cs="FrankRuehl"/>
          <w:szCs w:val="34"/>
          <w:rtl/>
        </w:rPr>
        <w:t xml:space="preserve">5.</w:t>
      </w:r>
      <w:r>
        <w:rPr>
          <w:lang w:bidi="he-IL"/>
          <w:rFonts w:hint="cs" w:cs="FrankRuehl"/>
          <w:szCs w:val="26"/>
          <w:rtl/>
        </w:rPr>
        <w:tab/>
        <w:t xml:space="preserve">שולמה אגרה בבית הדין ולאחר מכן נמחקה הבקשה שבעדה שולמה האגרה והוגשה בקשה בענין אותו עזבון לרשם לעניני ירושה, יראו אותה כאגרה ששולמה בעד אותו ענין לרשם לעניני ירושה או לבית המשפט, אם הענין הועבר אליו לפי סעיף 67א לחוק.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אגרות בעניני ירושה בתקנות בתי הדין</w:t>
                </w:r>
              </w:p>
            </w:txbxContent>
          </v:textbox>
        </v:rect>
      </w:pict>
      <w:r>
        <w:rPr>
          <w:lang w:bidi="he-IL"/>
          <w:rFonts w:hint="cs" w:cs="FrankRuehl"/>
          <w:szCs w:val="34"/>
          <w:rtl/>
        </w:rPr>
        <w:t xml:space="preserve">6.</w:t>
      </w:r>
      <w:r>
        <w:rPr>
          <w:lang w:bidi="he-IL"/>
          <w:rFonts w:hint="cs" w:cs="FrankRuehl"/>
          <w:szCs w:val="26"/>
          <w:rtl/>
        </w:rPr>
        <w:tab/>
        <w:t xml:space="preserve">בתקנות בתי הדין שלהלן יימחקו ההוראות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בתקנות הדיינים (אגרות), התשי"ז-1957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 9 לתוספת הראשונה – יימחק;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בפרט 2 לתוספת השניה, המספרים "9(1)(ג), 9(7)"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בתקנות בתי הדין הדתיים הדרוזים (אגרות), התשל"ג-1973, בפרט 1 לתוספת, המילים "ירושות, עזבונות וצוואות"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בתקנות בתי הדין השרעיים (אגרות), התשכ"ח-1968, בפרט 1 לתוספת, המילים "ירושות, עזבונות, צוואות" – יימחקו.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בתוך שלושים ימים מיום פרסומן.</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1eb2fd00611434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הירושה (אגרות בתי הדין הדתיים), תשנ"ט-1999,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19ddd6567674987" /><Relationship Type="http://schemas.openxmlformats.org/officeDocument/2006/relationships/hyperlink" Target="https://www.nevo.co.il/laws/#/60467260315508eb66489f99/clause/604676b3315508eb6648a01d" TargetMode="External" Id="R31eb2fd006114340" /><Relationship Type="http://schemas.openxmlformats.org/officeDocument/2006/relationships/header" Target="/word/header1.xml" Id="r97" /><Relationship Type="http://schemas.openxmlformats.org/officeDocument/2006/relationships/footer" Target="/word/footer1.xml" Id="r98" /></Relationships>
</file>