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2d1fc0b741471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הירושה (אגרות הרשם לעניני ירושה),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לקבלת עותק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בהליכים שהועברו לבית המשפט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הירושה (אגרות הרשם לעניני ירושה),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160(א)(7) לחוק הירושה, התשכ"ה-1965 (להלן – החוק), באישור שר האוצר לפי סעיף 39ב לחוק יסודות התקציב, התשמ"ה-1985, ובאישור ועדת החוקה, חוק ומשפט של הכנסת לפי סעיף 160(ב) לחוק,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בעד פעולות רשם לעניני ירושה (להלן – הרשם) והשירותים שהוא נותן, כמפורט בטור א' בתוספת, תשולם האגרה שנקבעה בטור ב' לצדו, ואולם הוגשה הבקשה באופן מקוון כאמור בתקנה 14(ד) לתקנות הירושה, התשנ"ח-1998, תשולם אגרה בשיעור של 85% מהאמור באמצעות אתר האינטרנט של 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תקובל אצל רשם בקשה, אלא אם כן שולמה האגרה.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סכומי האגרות הנקובים בתוספת ישתנו ב-1 בינואר של כל שנה (להלן – יום השינוי) לפי שיעור השינוי של המדד שפורסם בחודש נובמבר שקדם ליום השינוי לעומת המדד שפורסם בחודש נובמבר שקדם ליום השינוי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האגרה שהשתנה כאמור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נמוך מ-10 שקלים חדשים – לא יעוגל;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גבוה מ-10 שקלים חדשים –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הארצי כמשמעותו בסעיף 65א לחוק, יפרסם ברשומות את נוסח התוספת כפי שהשתנתה על פי האמור בתקנה זו.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אגרה</w:t>
                </w:r>
              </w:p>
            </w:txbxContent>
          </v:textbox>
        </v:rect>
      </w:pict>
      <w:r>
        <w:rPr>
          <w:lang w:bidi="he-IL"/>
          <w:rFonts w:hint="cs" w:cs="FrankRuehl"/>
          <w:szCs w:val="34"/>
          <w:rtl/>
        </w:rPr>
        <w:t xml:space="preserve">3.</w:t>
      </w:r>
      <w:r>
        <w:rPr>
          <w:lang w:bidi="he-IL"/>
          <w:rFonts w:hint="cs" w:cs="FrankRuehl"/>
          <w:szCs w:val="26"/>
          <w:rtl/>
        </w:rPr>
        <w:tab/>
        <w:t xml:space="preserve">אגרה תשולם בבנק הדואר ובדרך שקבע הממונה הארצי; העתק הקבלה של בנק הדואר יחד עם הודעה על ייעוד האגרה לרשם והענין שאליו היא מתייחסת יימסרו לרשם.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w:t>
                </w:r>
              </w:p>
            </w:txbxContent>
          </v:textbox>
        </v:rect>
      </w:pict>
      <w:r>
        <w:rPr>
          <w:lang w:bidi="he-IL"/>
          <w:rFonts w:hint="cs" w:cs="FrankRuehl"/>
          <w:szCs w:val="34"/>
          <w:rtl/>
        </w:rPr>
        <w:t xml:space="preserve">4.</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המדינה וכל מי שהורשה לייצגה כשהוא מביא הליך מכוח הרשאתו;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פקיד סעד של רשות מקומית כשהוא מביא הליך מכוח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מגיש בקשה למתן צו ירושה או בקשר אליו, שהוא בן זוגו, ילדו, אביו, אמו או אחיו של מי שנפטר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עקב פעולות מלחמה אחרי יום ט"ז בכסלו התש"ח (29 בנובמבר 1947) או שהוא נפגע פגיעת איבה כהגדרתה בחוק התגמולים לנפגעי פעולות איבה, התש"ל-1970 (להלן – חוק נפגעי איבה), זולת אם מי שנפטר כאמור היה איש כוחות האויב כמשמעותם בסעיף 1(1) לחוק נפגעי איבה ופטירתו היתה עקב פעולה שנעשתה בשליחותם או מטעמם או לקידום מטרותיהם של כוחות האויב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בשירות צבאי כמשמעותו בסעיפים 1(א)(ב), 2(א), (ג) ו-14(ב) לחוק חיילים משוחררים (החזרה לעבודה), התש"ט-1949.</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לקבלת עותק</w:t>
                </w:r>
              </w:p>
            </w:txbxContent>
          </v:textbox>
        </v:rect>
      </w:pict>
      <w:r>
        <w:rPr>
          <w:lang w:bidi="he-IL"/>
          <w:rFonts w:hint="cs" w:cs="FrankRuehl"/>
          <w:szCs w:val="34"/>
          <w:rtl/>
        </w:rPr>
        <w:t xml:space="preserve">5.</w:t>
      </w:r>
      <w:r>
        <w:rPr>
          <w:lang w:bidi="he-IL"/>
          <w:rFonts w:hint="cs" w:cs="FrankRuehl"/>
          <w:szCs w:val="26"/>
          <w:rtl/>
        </w:rPr>
        <w:tab/>
        <w:t xml:space="preserve">כל צד לבקשה זכאי לקבל עותק אחד מאושר מהחלטת הרשם, ללא תשלום נוסף.</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בהליכים שהועברו לבית המשפט</w:t>
                </w:r>
              </w:p>
            </w:txbxContent>
          </v:textbox>
        </v:rect>
      </w:pict>
      <w:r>
        <w:rPr>
          <w:lang w:bidi="he-IL"/>
          <w:rFonts w:hint="cs" w:cs="FrankRuehl"/>
          <w:szCs w:val="34"/>
          <w:rtl/>
        </w:rPr>
        <w:t xml:space="preserve">6.</w:t>
      </w:r>
      <w:r>
        <w:rPr>
          <w:lang w:bidi="he-IL"/>
          <w:rFonts w:hint="cs" w:cs="FrankRuehl"/>
          <w:szCs w:val="26"/>
          <w:rtl/>
        </w:rPr>
        <w:tab/>
        <w:t xml:space="preserve">שולמה אגרה אצל הרשם ולאחר מכן הועבר הענין לפי סעיף 67א לחוק לבית המשפט, יראו אותה כאגרה ששולמה לבית המשפט.</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י' באלול התשנ"ח (1 בספטמבר 1998).</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7b9c6683f804e8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אביגדור קהלני</w:t>
                </w:r>
              </w:p>
              <w:p>
                <w:pPr>
                  <w:bidi/>
                  <w:spacing w:before="45" w:after="3" w:line="250" w:lineRule="auto"/>
                  <w:jc w:val="center"/>
                </w:pPr>
                <w:defaultTabStop w:val="720"/>
                <w:r>
                  <w:rPr>
                    <w:lang w:bidi="he-IL"/>
                    <w:rFonts w:hint="cs" w:cs="FrankRuehl"/>
                    <w:szCs w:val="22"/>
                    <w:rtl/>
                  </w:rPr>
                  <w:t xml:space="preserve">השר לבטחון הפנים  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הירושה (אגרות הרשם לעניני ירושה), תשנ"ח-1998, נוסח עדכני נכון ליום 18.01.2023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39550b84d4c4bac" /><Relationship Type="http://schemas.openxmlformats.org/officeDocument/2006/relationships/hyperlink" Target="https://www.nevo.co.il/laws/#/60467b4a315508eb6648a02d/clause/604685c4315508eb6648a0a2" TargetMode="External" Id="R87b9c6683f804e8b" /><Relationship Type="http://schemas.openxmlformats.org/officeDocument/2006/relationships/header" Target="/word/header1.xml" Id="r97" /><Relationship Type="http://schemas.openxmlformats.org/officeDocument/2006/relationships/footer" Target="/word/footer1.xml" Id="r98" /></Relationships>
</file>