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d61831fcdf4d0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הכניסה לישראל (בקשה לאישור כניסתו של ילד באימוץ בין-ארצי), תשנ"ח-1998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אשרת כניסה למטרת אימוץ בין-ארצי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פקיעת תוקף אשרה ורשיון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 על הרשות המרכזית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תחולת דינים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הכניסה לישראל (בקשה לאישור כניסתו של ילד באימוץ בין-ארצי), תשנ"ח-1998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14 ו-15(א) לחוק הכניסה לישראל, התשי"ב-1952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"אימוץ בין-ארצי" – כמשמעותו בסעיף 28א לחוק האימוץ;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"אשרה ורשיון" – אשרה ורשיון לישיבת קבע, כמשמעותם בסעיף 2(א)(4)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"בקשה" – בקשה לאשרה ורשיון לילד ממדינת חוץ למטרת אימוץ בין-ארצי;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"הרשות המרכזית" – כמשמעותה בסעיף 28ב לחוק האימוץ;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 שר הפנים או מי שהוא הסמיכו לענין תקנות אלה;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"חוק האימוץ" – חוק אימוץ ילדים, התשמ"א-1981;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"מבקש" – כמשמעותו בסעיף 28ז לחוק האימוץ;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"עמותה מוכרת" – כמשמעותה בסעיף 28ג לחוק האימוץ;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"רשות מוסמכת של מדינת חוץ" – כמשמעותה בסעיף 28יא לחוק האימוץ.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בקשה תוגש בידי עמותה מוכרת למינהל האוכלוסין שבמשרד הפנים בירושלים לפי הטופס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לבקשה יצורפו אישור של רשות מוסמכת של מדינת החוץ למסירת הילד לאימוץ למבקש וכן אישור של רופא מטעם העמותה המוכרת שבדק את הילד שמבקשים לאמצו (להלן – הילד), ושלפיו אין הילד חולה במחלה העלולה לסכן את הציבור.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אשרת כניסה למטרת אימוץ בין-ארצי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אישר השר את כניסת הילד לישראל לישיבת קבע, יתן לעמותה הודעה בכתב על 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האשרה תינתן למבקש בנציגות ישראל במדינת החוץ שבה התנהלו הליכי האימוץ, לאחר שמסר אישור של רשות מוסמכת של מדינת החוץ כי הוא רשאי להוציא את הילד ממדינת החוץ.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בתקנת משנה (ב), רשאי השר להורות כי האשרה תינתן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פקיעת תוקף אשרה ורשיון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מבלי לפגוע בהוראות כל דין, יפקעו אשרה ורשיון בכל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הילד לא נכנס לישראל בתוך 6 חודשים מיום קבלת האשרה;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לא הוגשה, בתוך 6 חודשים מיום כניסת הילד לישראל, בקשה לרישום האימוץ בפנקס האימוצים, כאמור בסעיף 29 לחוק האימוץ, או בקשה למתן צו אימוץ לפי סעיף 28כ לחוק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 על הרשות המרכזית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הוראות תקנות אלה יחולו בשינויים המחויבים על הרשות המרכזית כאשר היא פועלת לפי סעיף 28ה(א)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תחולת דינים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על בקשה ועל אשרה ורשיון לפי תקנות אלה יחולו הוראות תקנות הכניסה לישראל, התשל"ד-1974, והוא כשאין הוראה אחרת בתקנות אלה.</w:t>
      </w:r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2(א))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15ada10bfc894fb2">
        <w:r>
          <w:rPr>
            <w:rStyle w:val="Hyperlink"/>
            <w:u w:val="single"/>
            <w:color w:themeColor="hyperlink"/>
          </w:rPr>
          <w:t>בקשה למתן אשרת כניסה לישראל לישיבת קבע למטרת אימוץ בין ארצי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סויסה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הכניסה לישראל (בקשה לאישור כניסתו של ילד באימוץ בין-ארצי), תשנ"ח-1998,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a200643eb56499b" /><Relationship Type="http://schemas.openxmlformats.org/officeDocument/2006/relationships/hyperlink" Target="https://www.nevo.co.il/lawattachments/60c4ff41290ec6e2ffe03271/b2efbc5d-2e9f-47b7-98af-185b31b0d256.doc" TargetMode="External" Id="R15ada10bfc894fb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