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61e46186374494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הכניסה לישראל, תשל"ד-1974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וצירופים 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הגשת הבקשה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 וראיות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סוגים של אשרות ביקור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אשרות ורישיונות לישיבת ביקור למשקיע</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סוגים של אשרות ארעי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אשרה ורשיון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מתן אשרה ורשיון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תוקפה של אשרה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תוקפו של רשיון ישיבה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השתקעות במדינה מחוץ לישראל</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מעמדו של ילד שנולד בישראל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עבודה בישראל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פרטים בטופס הרישום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הרשימות ופרטיהן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ממוכן בתחנת הגבול</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מגע עם כלי הסעה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מי שאינו רשאי להיכנס</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צו גירוש</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אדם עד גירושו</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24א</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א':אגרות בעד בקשות לשירותים</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 הוראות מיוחדות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הכניסה לישראל, תשל"ד-1974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14 לחוק הכניסה לישראל, תשי"ב-1952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הפנים או מי שהסמיך לכך בכתב;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הסעה" – לרבות כלי שיט וכלי טיס;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על כלי הסעה, בכלי שיט ובכלי טיס – קברניטו, בכל כלי הסעה אחר – נהגו;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נסיעה" – דרכון, תעודת מסע או מסמך מוכר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השבות" – חוק השבות, התש"י-1950.</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וצירופים לה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לשירות לפי החוק (להלן – בקשה) יש להגיש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יצורפו מסמך נסיעה של המבקש ומסמכים אחרים שדרש השר.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הגשת הבקשה</w:t>
                </w:r>
              </w:p>
            </w:txbxContent>
          </v:textbox>
        </v:rect>
      </w:pict>
      <w:r>
        <w:rPr>
          <w:lang w:bidi="he-IL"/>
          <w:rFonts w:hint="cs" w:cs="FrankRuehl"/>
          <w:szCs w:val="34"/>
          <w:rtl/>
        </w:rPr>
        <w:t xml:space="preserve">3.</w:t>
      </w:r>
      <w:r>
        <w:rPr>
          <w:lang w:bidi="he-IL"/>
          <w:rFonts w:hint="cs" w:cs="FrankRuehl"/>
          <w:szCs w:val="26"/>
          <w:rtl/>
        </w:rPr>
        <w:tab/>
        <w:t xml:space="preserve">הבקשה תוגש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בישראל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בלשכה האזורית למינהל האוכלוסין של משרד הפנים (להלן – לשכה);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במינהל האוכלוסין שבמשרד הפנים בירושלים;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
      </w:r>
      <w:hyperlink xmlns:r="http://schemas.openxmlformats.org/officeDocument/2006/relationships" w:history="true" r:id="Rbad2744893bb4b8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 וראיות</w:t>
                </w:r>
              </w:p>
            </w:txbxContent>
          </v:textbox>
        </v:rect>
      </w:pict>
      <w:r>
        <w:rPr>
          <w:lang w:bidi="he-IL"/>
          <w:rFonts w:hint="cs" w:cs="FrankRuehl"/>
          <w:szCs w:val="34"/>
          <w:rtl/>
        </w:rPr>
        <w:t xml:space="preserve">4.</w:t>
      </w:r>
      <w:r>
        <w:rPr>
          <w:lang w:bidi="he-IL"/>
          <w:rFonts w:hint="cs" w:cs="FrankRuehl"/>
          <w:szCs w:val="26"/>
          <w:rtl/>
        </w:rPr>
        <w:tab/>
        <w:t xml:space="preserve">השר רשאי לדרוש, לפי שיקול דעתו, ממגיש בקשה שימציא לו פרטים נוספים הנוגעים לענין וכן ראיות לאימות הפרטים שמסר בבקשה.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סוגים של אשרות ביקור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המבקש להיכנס לישראל כדי לעבוד בה זמנית בשכר, יגיש בקשה לאשרה ורשיון לישיבת ביקור מסוג ב/1 (עובד זמני); מעביד בישראל רשאי להגיש בקשה כאמור עבור תושב חוץ שהוא רוצה להעסיק.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להיכנס לישראל לשם ביקור או לכל מטרה אחרת המצריכה שהות קצרה בלבד בישראל, למעט למטרת עבודה, בשכר או שלא בשכר, יגיש בקשה לאשרה ורשיון לישיבת ביקור מסוג ב/2 (תייר).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השר רשאי לתת לאדם אשר מעמדו לענין הכניסה לישראל והישיבה בה איננו ברור, אשרה ורשיון לישיבת ביקור מסוג ב/3 (נכנס מסופק) לתקופה שלא תעלה על חודש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שקיבל אשרה ורשיון ישיבה מסוג ב/3 יפנה תוך תקופתם ללשכה לעליה ומרשם לבירור מעמדו.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המבקש להיכנס לישראל כדי לעבוד בה זמנית שלא בשכר, יגיש בקשה לאשרה ורשיון לישיבת ביקור מסוג ב/4 (מתנדב); מעביד בישראל רשאי להגיש בקשה כאמור עבור תושב חוץ שהתנדב לעבוד אצלו.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אשרות ורישיונות לישיבת ביקור למשקיע</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"אזרח מדינת הסדר" – לרבות אדם בעל דרכון בתוקף של מדינת ההסדר;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"הרשות" – רשות האוכלוסין וההגירה במשרד הפנים;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"מדינת הסדר" – מדינה המנויה בתוספת השנייה;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"מיזם עסקי" – תאגיד או עסק שהוקם בישראל, ואשר השליטה והניהול בו מופעלים בישראל, לצורך קיום פעילות עסקית, תעשייתית, מסחרית או יזמית המיועדת להפקת רווחים בישראל;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"מנהל בכיר" – אזרח מדינת ההסדר אשר בליבת עיסוקו שליטה, פיקוח ואחריות על התפקוד הכללי של המיזם העסקי או של חלק מרכזי בו, או הכוונה או קביעה של יעדי המיזם או מחלקות עיקריות בו;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"משקיע" – אזרח מדינת הסדר שהשקיע במטרה לנהל או לפתח בישראל מיזם עסקי שלו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בעלות ב-50% לפחות במיזם העסקי;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שליטה תפעולית על המיזם העסקי באמצעות תפקיד ניהולי, באמצעות אמצעי תאגידי אחר או בדרך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"עובד בעל כישורים מיוחדים" – אזרח מדינת ההסדר שהוא בעל מיומנויות או כישורים מיוחדים, החיוניים לתפקוד היעיל והמוצלח של המיזם העסקי; לעניין זה, ייבחנו, בין השאר, רמת מומחיות המבקש, ייחודיות המיומנות או הכישרון, הניסיון או ההכשרה של המבקש, שכרו המיועד של המבקש, משך העסקתו הצפוי של המבקש, וההיתכנות להכשרת כוח אדם מקומי, בהתחשב בשלב ההתפתחות של המיזם העסקי;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"עובד חיוני" – מנהל בכיר או עובד בעל כישורים מיוחדים המועסק כעובד על ידי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משקיע;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מיזם או תאגיד ש-50% ממנו לפחות נמצא בבעלות של אדם או בבעלותם המשותפת של כמה אנשים, אשר ממלאים יחד אחר דרישות ההגדרה של משקיע; ובלבד שהעובד החיוני וכן המנויים בפסקאות (1) או (2), הם אזרחים של אותה מדינת הסדר;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"עסק" – פעילות עסקית שאינה תאגיד, אשר הוועדה המייעצת לפי תקנת משנה (ב) המליצה להכיר בה כמיזם עסקי לעניין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מתן אשרות ורישיונות לפי תקנה זו, השר ימנה ועדה מייעצת (להלן – הוועדה המייעצת),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הרשות – והוא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משרד האוצר שיציע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משרד הכלכלה שיציע שר הכלכלה;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משרד החוץ שיציע שר החוץ.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עובד משרד העבודה הרווחה והשירותים החברתיים שיציע שר העבודה הרווחה והשירותים החברתיים.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סדרי עבודת הוועדה,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המלצת הוועדה תינתן על דעת שלושה מחבריה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הוועדה תקבע את סדרי עבודתה;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הוועדה תבחן בקשות לאשרות ורישיונות או להארכת אשרות ורישיונות לפי תקנה זו, ותמליץ לפני השר בדבר מתן אשרות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התנאים המקדימים למתן אשרה ורישיון ישיבה לפי תקנה זו, שעל המשקיע להוכיח את התקיימותם: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טרם הגשת הבקשה רתם המשקיע בפועל לטובת המיזם העסקי משאבי הון בהיקף משמעותי, הצפויים להספיק להפעלתו המוצלחת של המיזם העסקי, העומדים בפני סיכון כלכלי, ואשר מעידים על מחויבותו הבלתי-חוזרת למיזם העסקי;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המשקיע הוא בעלים ובעל יכולת שליטה כדין במשאבי ההון המושקעים, אשר מקורם חוקי;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המיזם העסקי עשוי ליצור צמיחה כלכלית במשק ומקומות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המיזם העסקי הוא פעיל, ואינו מיזם שולי; לעניין זה, "מיזם שולי" – מיזם אשר היקף פעילותו צפוי לספק את מחייתם של המשקיע ובני משפחתו בלבד, ולמעט מיזם שגלומה בו אפשרות ממשית לתרומה משמעותית למשק הישראלי בתוך תקופה סבירה.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בתקנה 5(א), ראה השר, לאחר היוועצות בוועדה המייעצת, כי התקיימו התנאים המקדימים המנויים בתקנת משנה (ד), רשאי הוא להורות לעובד הרשות שהסמיכו לכך, לתת אשרות ורישיונות ישיבה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אשרה ורישיון לישיבת ביקור מסוג ב/5 (משקיע זר) – למשקיע המבקש לשהות בישראל כדי לפתח ולנהל את המיזם העסקי בלבד, ובכוונתו לצאת מישראל עם פקיעת רישיון ישיבתו;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אשרה ורישיון לישיבת ביקור מסוג ב/51 (עובד חיוני) – לעובד חיוני המבקש לשהות בישראל ולקדם את המיזם העסקי, ובכוונתו לצאת מישראל עם פקיעת רישיון ישיבתו;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אשרה ורישיון לישיבת ביקור מסוג ב/52 (בן זוג – משקיע זר), לבן זוג של משקיע או של עובד חיוני המבקש לשהות בישראל ולעבוד בה, גם שלא במיזם העסקי, אם הוכח לגביו כי בכוונת המבקש לצאת מישראל עם פקיעת רישיון ישיבתו;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אשרה ורישיון לישיבת ביקור מסוג ב/53 (ילד של משקיע) – לילדו של משקיע או של עובד חיוני, אם הוכח כי בכוונתו לצאת מישראל עם פקיעת רישיון ישיבתו, וכי גילו נמוך מ-21.</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סוגים של אשרות ארעי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מי שזכאי לאשרת עולה או לתעודת עולה לפי חוק השבות ורוצה לשהות בישראל כדי לבדוק את האפשרות והתנאים להשתקעות בישראל כעולה, רשאי להגיש בקשה לאשרה ורישיון לישיבת ארעי מסוג א/1 (עולה בכוח); סך כל תקופות הארכת האשרה והרישיון לא יעלו על חמש שנים.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הרוצה לשהות בישראל למטרת לימודים או השתלמות, רשאי להגיש בקשה לאשרה ורשיון לישיבת ארעי מסוג א/2 (תלמיד);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מגיש הבקשה ימציא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אישור מאת מוסד החינוך או ההשתלמות שהוא נתקבל בו כתלמיד או ראיות, להנחת דעתו של השר, שהמבקש מתכוון לשהות בישראל כתלמיד;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ראיות להנחת דעתו של השר שעומדים לרשות התלמיד האמצעים לכיסוי הוצאותיו בתקופת שהותו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בקשה כאמור יכול שתוגש מאת התלמיד עצמו, אפוטרופסו או כל אדם אחר האחראי לכלכלתו או מאת המוסד שבו מתעתד הוא ללמוד.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 דת הרוצה לשהות בישראל לשם מילוי תפקיד דתי בקרב עדתו בישראל לפי הזמנת מוסד דת, רשאי מוסד הדת להגיש עבורו בקשה לאשרה ורשיון לישיבת ארעי מסוג א/3 (איש דת); ניתנו האשרה והרשיון יודיע המוסד ללשכה על כניסתו של איש הדת לישראל ויהיה אחראי ליציאתו מישראל עם תום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הרוצה לשהות בישראל והוא קרובו של אדם שהוא בעל אשרה ורשיון לישיבת ארעי מהסוגים המפורטים בתקנות משנה (ב) ו-(ג), רשאי להגיש בקשה לאשרה ורשיון לישיבת ארעי מסוג א/4 (קרוב); בתקנת משנה זו, "קרוב" של אדם – בן זוגו או ילדו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הרוצה לשהות בישראל על פי רשיון לישיבת ארעי, למטרה שאיננה נמנית על המטרות האמורות בתקנות משנה (א) עד (ד), רשאי להגיש בקשה לאשרה ורשיון לישיבת ארעי מסוג א/5 (ארעי כללי).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אשרה ורשיון</w:t>
                </w:r>
              </w:p>
            </w:txbxContent>
          </v:textbox>
        </v:rect>
      </w:pict>
      <w:r>
        <w:rPr>
          <w:lang w:bidi="he-IL"/>
          <w:rFonts w:hint="cs" w:cs="FrankRuehl"/>
          <w:szCs w:val="34"/>
          <w:rtl/>
        </w:rPr>
        <w:t xml:space="preserve">7.</w:t>
      </w:r>
      <w:r>
        <w:rPr>
          <w:lang w:bidi="he-IL"/>
          <w:rFonts w:hint="cs" w:cs="FrankRuehl"/>
          <w:szCs w:val="26"/>
          <w:rtl/>
        </w:rPr>
        <w:tab/>
        <w:t xml:space="preserve">תקנות 5 ו-6 יחולו גם על בקשה להארכה או להחלפת אשרה ורשיון ישיבה,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מתן אשרה ורשיון</w:t>
                </w:r>
              </w:p>
            </w:txbxContent>
          </v:textbox>
        </v:rect>
      </w:pict>
      <w:r>
        <w:rPr>
          <w:lang w:bidi="he-IL"/>
          <w:rFonts w:hint="cs" w:cs="FrankRuehl"/>
          <w:szCs w:val="34"/>
          <w:rtl/>
        </w:rPr>
        <w:t xml:space="preserve">8.</w:t>
      </w:r>
      <w:r>
        <w:rPr>
          <w:lang w:bidi="he-IL"/>
          <w:rFonts w:hint="cs" w:cs="FrankRuehl"/>
          <w:szCs w:val="26"/>
          <w:rtl/>
        </w:rPr>
        <w:tab/>
        <w:t xml:space="preserve">אשרה ורשיון ינתנו על גבי מסמך נסיעה בר-תוקף, אולם רשאי השר לתיתם גם במסמך נסיעה שתוקפו פקע או על גבי מסמך אחר שהשר יקבע לכך.</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9.</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תוקפה של אשרה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תוקפה של אשרת כניסה לישראל יפקע בכל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עם תום המועד שנקבע באשרה כתקופת תוקפה;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עם השימוש בה לשם כניסה אחת לישראל, זולת אם נקבע באשרה שבתוך תקופת תוקפה ניתן להשתמש בה למספר כניסות שיצויין באשרה או למספר בלתי מוגבל של כניסות;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עם פקיעת תוקפו של מסמך הנסיעה שבו ניתנה האשרה, זולת אם תוקפו של המסמך הוארך או אם השר קבע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השר היתנה את תוקף האשרה בקיומו של תנאי כלשהו והתנאי לא קויים;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נעשה במסמך הנסיעה שבו ניתנה האשרה תיקון או שינוי בידי מי שלא הוסמך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אשרה לישיבת ארעי מסוג א/1 או אשרת חוזר שניתן להשתמש בה למספר כניסות לישראל שצויין באשרה, או למספר בלתי מוגבל של כניסות, יפקע תוקפה, בנוסף לאמור בתקנת משנה (א), גם אם בעל האשרה עזב את ישראל והשתקע במדינה מחוץ לישראל.</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תוקפו של רשיון ישיבה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תוקפו של רשיון לישיבת מעבר, לישיבת ביקור או לישיבת ארעי, יפקע בכל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עם תום המועד שנקבע ברשיון כתקופת תוקפו;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עם יציאתו של בעל הרשיון מישראל, זולת אם יש ברשותו אשרה בת-תוקף לכניסה נוספת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עם פקיעת תוקפו של מסמך הנסיעה שבו ניתן הרשיון, זולת אם תוקפו של המסמך הוארך או אם השר קבע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השר התנה את תוקף הרשיון בקיומו של תנאי כלשהו והתנאי לא קויים;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נעשה במסמך הנסיעה שבו ניתן הרשיון תיקון או שינוי בידי מי שלא הוסמך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תוקפו של רשיון לישיבת ארעי מסוג א/1 יפקע בהתקיים אחת הנסיבות האמורות בפסקאות (1), (4) או (5) לתקנת משנה (א) וכן אם בעל הרשיון עזב את ישראל והשתקע במדינה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תוקפו של רשיון לישיבת קבע יפקע בהתקיים הנסיבות האמורות בפסקאות (4) או (5) לתקנת משנה (א) וכן אם בעל הרשיון עזב את ישראל והשתקע במדינה מחוץ לישראל.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השתקעות במדינה מחוץ לישראל</w:t>
                </w:r>
              </w:p>
            </w:txbxContent>
          </v:textbox>
        </v:rect>
      </w:pict>
      <w:r>
        <w:rPr>
          <w:lang w:bidi="he-IL"/>
          <w:rFonts w:hint="cs" w:cs="FrankRuehl"/>
          <w:szCs w:val="34"/>
          <w:rtl/>
        </w:rPr>
        <w:t xml:space="preserve">11א.</w:t>
      </w:r>
      <w:r>
        <w:rPr>
          <w:lang w:bidi="he-IL"/>
          <w:rFonts w:hint="cs" w:cs="FrankRuehl"/>
          <w:szCs w:val="26"/>
          <w:rtl/>
        </w:rPr>
        <w:tab/>
        <w:t xml:space="preserve">לענין תקנות 10 ו-11, יראו אדם כמי שהשתקע במדינה מחוץ לישראל אם נתקיים בו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שהה מחוץ לישראל תקופה של שבע שנים לפחות ובאשרה ורשיון לישיבת ארעי מסוג א/1 – שלוש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קיבל רשיון לישיבת קבע באותה 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קיבל את האזרחות של אותה מדינה בדרך של התאזרחות.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מעמדו של ילד שנולד בישראל</w:t>
                </w:r>
              </w:p>
            </w:txbxContent>
          </v:textbox>
        </v:rect>
      </w:pict>
      <w:r>
        <w:rPr>
          <w:lang w:bidi="he-IL"/>
          <w:rFonts w:hint="cs" w:cs="FrankRuehl"/>
          <w:szCs w:val="34"/>
          <w:rtl/>
        </w:rPr>
        <w:t xml:space="preserve">12.</w:t>
      </w:r>
      <w:r>
        <w:rPr>
          <w:lang w:bidi="he-IL"/>
          <w:rFonts w:hint="cs" w:cs="FrankRuehl"/>
          <w:szCs w:val="26"/>
          <w:rtl/>
        </w:rPr>
        <w:tab/>
        <w:t xml:space="preserve">ילד שנולד בישראל, ולא חל עליו סעיף 4 לחוק השבות, יהיה מעמדו בישראל כמעמד הוריו; לא היה להוריו מעמד אחד, יקבל הילד את המעמד של אביו או אפוטרופסו זולת אם ההורה השני מתנגד בכתב לכך; התנגד ההורה השני, יקבל הילד את המעמד של אחד מהוריו, כפי שיקבע השר.</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עבודה בישראל</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בעל רשיון לישיבת מעבר, לישיבת ביקור מסוגים ב/2 או ב/3 או לישיבת ארעי מסוגים א/2 או א/4, לא יקבל עבודה בישראל, אלא אם השר התיר לו את הדבר.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יעסיק מעביד בישראל אדם אשר ברשותו רשיון לישיבה מהסוגים הנזכרים בתקנת משנה (א) אלא אם הותר לבעל הרשיון לעבוד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בעל רישיון לישיבת ארעי מהסוגים המפורטים להלן, יוכל לעבוד בישראל ומעביד בישראל יוכל להעסיקו אם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רישיון מסוג א/4 – בעל הרישיון הוכיח כי הוא זכאי למעמד עולה לפי חוק השבות;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רישיון מסוג א/2 – בעל הרישיון הוכיח כי מתקיימים כל התנאים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זכאי למעמד עולה לפי חוק השבות;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העבודה במסגרת של משרה חלקית בלבד;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לא יהיה בעבודתו כדי לפגוע בסדר לימודיו התקין.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רישיון מסוג א/2 – בעל הרישיון הוכיח כי מתקיימים כל התנאים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לומד באחת מן האוניברסיטאות בארץ שהן מוסד מוכר כהגדרתו בסעיף 9 לחוק המועצה להשכלה גבוהה, התשי"ח-1958;</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לומד לתואר שני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העבודה היא תרגול או הוראה בתחום הלימוד של בעל הרישיון ובאוניברסיטה שהוא לומד בה;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העבודה היא במסגרת של משרה חלקית בלבד.</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14.</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פרטים בטופס הרישום</w:t>
                </w:r>
              </w:p>
            </w:txbxContent>
          </v:textbox>
        </v:rect>
      </w:pict>
      <w:r>
        <w:rPr>
          <w:lang w:bidi="he-IL"/>
          <w:rFonts w:hint="cs" w:cs="FrankRuehl"/>
          <w:szCs w:val="34"/>
          <w:rtl/>
        </w:rPr>
        <w:t xml:space="preserve">15.</w:t>
      </w:r>
      <w:r>
        <w:rPr>
          <w:lang w:bidi="he-IL"/>
          <w:rFonts w:hint="cs" w:cs="FrankRuehl"/>
          <w:szCs w:val="26"/>
          <w:rtl/>
        </w:rPr>
        <w:tab/>
        <w:t xml:space="preserve">האחראי על כלי הסעה המגיע לישראל ימסור לאנשים הנמצאים בכלי ההסעה ומבקשים להיכנס לישראל טופס רישום שקבע השר; הנוסע ימלא את הפרטים שבטופס הרישום לגביו ולגבי הנלווים אליו על-פי הרשום במסמך הנסיעה.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הרשימות ופרטיהן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קצין בקורת הגבולות רשאי לדרוש מן האחראי על כלי הסעה המגיע לישראל להמציא רשימות הכוללות פרטים בנוגע לנוסעים בו, לרבות העובדים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הרשימות לפי תקנת משנה (א) יכללו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מין ותאריך לידה;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אזרחות;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מספר מסמך הנסיעה, תאריך הוצאתו ותאריך תום תוקפו.</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ממוכן בתחנת הגבול</w:t>
                </w:r>
              </w:p>
            </w:txbxContent>
          </v:textbox>
        </v:rect>
      </w:pict>
      <w:r>
        <w:rPr>
          <w:lang w:bidi="he-IL"/>
          <w:rFonts w:hint="cs" w:cs="FrankRuehl"/>
          <w:szCs w:val="34"/>
          <w:rtl/>
        </w:rPr>
        <w:t xml:space="preserve">16א.</w:t>
      </w:r>
      <w:r>
        <w:rPr>
          <w:lang w:bidi="he-IL"/>
          <w:rFonts w:hint="cs" w:cs="FrankRuehl"/>
          <w:szCs w:val="26"/>
          <w:rtl/>
        </w:rPr>
        <w:tab/>
        <w:t xml:space="preserve">מי שבא לגבול ישראל, זוהה באמצעים ממוכנים בהתאם לנהלים שאישר ראש רשות האוכלוסין וההגירה וקיבל אישור ביקורת גבולות לכניסה או יציאה, יראו אותו כמי שהתייצב בפני קצין ביקורת הגבולות לפי סעיף 7 לחוק.</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מגע עם כלי הסעה</w:t>
                </w:r>
              </w:p>
            </w:txbxContent>
          </v:textbox>
        </v:rect>
      </w:pict>
      <w:r>
        <w:rPr>
          <w:lang w:bidi="he-IL"/>
          <w:rFonts w:hint="cs" w:cs="FrankRuehl"/>
          <w:szCs w:val="34"/>
          <w:rtl/>
        </w:rPr>
        <w:t xml:space="preserve">17.</w:t>
      </w:r>
      <w:r>
        <w:rPr>
          <w:lang w:bidi="he-IL"/>
          <w:rFonts w:hint="cs" w:cs="FrankRuehl"/>
          <w:szCs w:val="26"/>
          <w:rtl/>
        </w:rPr>
        <w:tab/>
        <w:t xml:space="preserve">השר רשאי, אם הוא סבור שנימוקי בטחון או שלום הציבור או בריאות הציבור מחייבים זאת, לצמצם או לאסור, לזמן שימצא לנכון, כל מגע בין הנוסעים בכלי הסעה שהגיע לישראל ובין כל אדם בישראל וכן בין הנוסעים של כלי הסעה שונים שהגיעו לישראל.</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מי שאינו רשאי להיכנס</w:t>
                </w:r>
              </w:p>
            </w:txbxContent>
          </v:textbox>
        </v:rect>
      </w:pict>
      <w:r>
        <w:rPr>
          <w:lang w:bidi="he-IL"/>
          <w:rFonts w:hint="cs" w:cs="FrankRuehl"/>
          <w:szCs w:val="34"/>
          <w:rtl/>
        </w:rPr>
        <w:t xml:space="preserve">18.</w:t>
      </w:r>
      <w:r>
        <w:rPr>
          <w:lang w:bidi="he-IL"/>
          <w:rFonts w:hint="cs" w:cs="FrankRuehl"/>
          <w:szCs w:val="26"/>
          <w:rtl/>
        </w:rPr>
        <w:tab/>
        <w:t xml:space="preserve">מי שבא לגבול ישראל ונמצא שאינו רשאי להיכנס אליה, רשאי קצין בקורת הגבולות להחזיקו עד ליציאתו בתחנת המשטרה, בבית סוהר, בתחנת הסגר או חיטוי של משרד הבריאות, בכלי ההסעה שבו הגיע לגבול ישראל או בכל מקום אחר שנראה לקצין ביקורת הגבולות מתאים בנסיבות הענין.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19.</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20.</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צו גירוש</w:t>
                </w:r>
              </w:p>
            </w:txbxContent>
          </v:textbox>
        </v:rect>
      </w:pict>
      <w:r>
        <w:rPr>
          <w:lang w:bidi="he-IL"/>
          <w:rFonts w:hint="cs" w:cs="FrankRuehl"/>
          <w:szCs w:val="34"/>
          <w:rtl/>
        </w:rPr>
        <w:t xml:space="preserve">21.</w:t>
      </w:r>
      <w:r>
        <w:rPr>
          <w:lang w:bidi="he-IL"/>
          <w:rFonts w:hint="cs" w:cs="FrankRuehl"/>
          <w:szCs w:val="26"/>
          <w:rtl/>
        </w:rPr>
        <w:tab/>
        <w:t xml:space="preserve">מי שניתן עליו צו גירוש לפי סעיף 13(א) לחוק, יימסר לו צו הגירוש בכתב והוא לא יגורש עד תום שלושה ימים ממסירת הצו לידיו.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אדם עד גירושו</w:t>
                </w:r>
              </w:p>
            </w:txbxContent>
          </v:textbox>
        </v:rect>
      </w:pict>
      <w:r>
        <w:rPr>
          <w:lang w:bidi="he-IL"/>
          <w:rFonts w:hint="cs" w:cs="FrankRuehl"/>
          <w:szCs w:val="34"/>
          <w:rtl/>
        </w:rPr>
        <w:t xml:space="preserve">22.</w:t>
      </w:r>
      <w:r>
        <w:rPr>
          <w:lang w:bidi="he-IL"/>
          <w:rFonts w:hint="cs" w:cs="FrankRuehl"/>
          <w:szCs w:val="26"/>
          <w:rtl/>
        </w:rPr>
        <w:tab/>
        <w:t xml:space="preserve">מי שניתן עליו צו גירוש ונעצר בידי קצין בקורת הגבולות או שוטר, יוחזק עד ליציאתו מישראל או עד לגירושו ממנה בתחנת משטרה, בבית סוהר, או במקום הסגר של משרד הבריאות או בכל מקום אחר שנראה לקצין ביקורת הגבולות, או לשוטר, מתאים בנסיבות הענין.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הודעה</w:t>
                </w:r>
              </w:p>
            </w:txbxContent>
          </v:textbox>
        </v:rect>
      </w:pict>
      <w:r>
        <w:rPr>
          <w:lang w:bidi="he-IL"/>
          <w:rFonts w:hint="cs" w:cs="FrankRuehl"/>
          <w:szCs w:val="34"/>
          <w:rtl/>
        </w:rPr>
        <w:t xml:space="preserve">23.</w:t>
      </w:r>
      <w:r>
        <w:rPr>
          <w:lang w:bidi="he-IL"/>
          <w:rFonts w:hint="cs" w:cs="FrankRuehl"/>
          <w:szCs w:val="26"/>
          <w:rtl/>
        </w:rPr>
        <w:tab/>
        <w:t xml:space="preserve">קיבלה משטרת ישראל הודעה מקברניט כלי טיס על נוסע לפי סעיפים 6, 9 או 10 לחוק הטיס (עבירות ושיפוט), תשל"א-1971, תודיע המשטרה לשר.</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בכפוף לאמור בחלק ב' לתוספת הראשונה, בעד הגשת בקשה לקבלת שירות מהשירותים המפורטים בחלק א' לתוספת הראשונה, תשולם אגרה בסכום הנקוב בשקלים חדשים לצד השירות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בנציגויות ישראל בחוץ לארץ תשולם האגרה בסכום שווה ערך בדולרים של ארצות הברית, לפי שער החליפין היציג שהיה קיים ב-1 בינואר שקדם למתן השירות, כפי שפרסם בנק ישראל, או במטבע המקומי, לפי השער שהיה קיים במקום מתן השירות ב-1 בינואר שקדם למתן השירות, כפי שפרסם הבנק המרכזי באותה מדינה; סכום במטבע מקומי יעוגל בגבולות שוויו של המטבע המקומי השלם הקרוב.</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24א.</w:t>
        <w:tab/>
      </w:r>
      <w:r>
        <w:rPr>
          <w:lang w:bidi="he-IL"/>
          <w:rFonts w:hint="cs" w:cs="FrankRuehl"/>
          <w:szCs w:val="26"/>
          <w:rtl/>
        </w:rPr>
        <w:t xml:space="preserve">(א)</w:t>
      </w:r>
      <w:r>
        <w:rPr>
          <w:lang w:bidi="he-IL"/>
          <w:rFonts w:hint="cs" w:cs="FrankRuehl"/>
          <w:szCs w:val="26"/>
          <w:rtl/>
        </w:rPr>
        <w:tab/>
        <w:t xml:space="preserve">סכומי האגרה הנקובים בחלק א' לתוספת הראשונה ישתנו ב-1 בינואר של כל שנה (להלן – יום השינוי), לפי שיעור השינוי של המדד החדש לעומת המדד היסודי;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בחודש אוקטובר שקדם ליום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בחודש אוקטובר שקדם ליום השינוי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שינוי הסכומים כאמור בתקנת משנה (א) ייעשה על בסיס הסכומים שנקבעו ליום השינוי הקודם, לפני שעוגלו כאמור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שהשתנה כאמור בתקנת משנה (א) יעוגל לצורך התשלום לסכום הקרוב שהוא מכפלה של חמישה שקלים חדשים, וסכום הקרוב במידה שווה לשני סכומים קרובים כאמור,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ראש רשות האוכלוסין וההגירה במשרד הפנים יפרסם בהודעה ברשומות את נוסח חלק א' בתוספת הראשונה כפי שהשתנה עקב שינוי הסכומים ועיגולם לפי הוראות תקנה זו.</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25.</w:t>
      </w:r>
      <w:r>
        <w:rPr>
          <w:lang w:bidi="he-IL"/>
          <w:rFonts w:hint="cs" w:cs="FrankRuehl"/>
          <w:szCs w:val="26"/>
          <w:rtl/>
        </w:rPr>
        <w:tab/>
        <w:t xml:space="preserve">נוסף לפטור האמור בחלק ב' של התוספת הראשונה, רשאי שר הפנים או מי שהסמיך לכך לפטור מתשלום אגרה לפי תקנות אלה, כולה או מקצתה.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26.</w:t>
      </w:r>
      <w:r>
        <w:rPr>
          <w:lang w:bidi="he-IL"/>
          <w:rFonts w:hint="cs" w:cs="FrankRuehl"/>
          <w:szCs w:val="26"/>
          <w:rtl/>
        </w:rPr>
        <w:tab/>
        <w:t xml:space="preserve">תקנות הכניסה לישראל, תשט"ז-1955 – בטלות.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27.</w:t>
      </w:r>
      <w:r>
        <w:rPr>
          <w:lang w:bidi="he-IL"/>
          <w:rFonts w:hint="cs" w:cs="FrankRuehl"/>
          <w:szCs w:val="26"/>
          <w:rtl/>
        </w:rPr>
        <w:tab/>
        <w:t xml:space="preserve">תחילתן של תקנות אלה ביום השלושים לאחר פרסומן.</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28.</w:t>
      </w:r>
      <w:r>
        <w:rPr>
          <w:lang w:bidi="he-IL"/>
          <w:rFonts w:hint="cs" w:cs="FrankRuehl"/>
          <w:szCs w:val="26"/>
          <w:rtl/>
        </w:rPr>
        <w:tab/>
        <w:t xml:space="preserve">לתקנות אלה ייקרא "תקנות הכניסה לישראל, תשל"ד-1974".</w:t>
      </w:r>
    </w:p>
    <w:p>
      <w:pPr>
        <w:bidi/>
        <w:spacing w:before="70" w:after="5" w:line="250" w:lineRule="auto"/>
        <w:jc w:val="center"/>
      </w:pPr>
      <w:defaultTabStop w:val="720"/>
      <w:bookmarkStart w:name="h33" w:id="33"/>
      <w:bookmarkEnd w:id="3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24 ו-25)</w:t>
      </w:r>
    </w:p>
    <w:p>
      <w:pPr>
        <w:bidi/>
        <w:spacing w:before="70" w:after="5" w:line="250" w:lineRule="auto"/>
        <w:jc w:val="center"/>
      </w:pPr>
      <w:defaultTabStop w:val="720"/>
      <w:r>
        <w:rPr>
          <w:lang w:bidi="he-IL"/>
          <w:rFonts w:hint="cs" w:cs="FrankRuehl"/>
          <w:szCs w:val="26"/>
          <w:b/>
          <w:bCs/>
          <w:rtl/>
        </w:rPr>
        <w:t xml:space="preserve">חלק א':אגרות בעד בקשות לשירותים</w:t>
      </w:r>
      <w:bookmarkStart w:name="h34" w:id="34"/>
      <w:bookmarkEnd w:id="34"/>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003ba9cd8b74f46">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ב': הוראות מיוחדות</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1.</w:t>
      </w:r>
      <w:r>
        <w:rPr>
          <w:lang w:bidi="he-IL"/>
          <w:rFonts w:hint="cs" w:cs="FrankRuehl"/>
          <w:szCs w:val="26"/>
          <w:rtl/>
        </w:rPr>
        <w:tab/>
        <w:t xml:space="preserve">לא תיגבה אגרה מאדם שהוא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אורח רשמי של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משתתף פעיל בכינוס בין לאומי שהוכר על ידי שר הפנים והנערך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אשר בגלל מעמדו הרשמי או הציבורי, או מעמדו בשדה המדע, התרבות והאמנות, או בגלל תרומתו לישראל, או ליהדות, או מסיבה סבירה אחרת, ראה אותו נציג דיפלומטי או קונסולרי של ישראל בחוץ לארץ, או מי שהסמיך שר הפנים לכך, כראוי ליחס של כבוד, ומצא לנכון להעניק או להאריך לו אשרה ורשיון 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אדם הזכאי לעלות ארצה לפי חוק השבות.</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דרכון של אחת המדינות המפורטות להלן יהיה פטור מתשלום אגרה בעד בקשה לאשרה ורשיון לישיבת מעבר או בקשה לאשרה ורשיון לישיבת ביקור מסוג ב/2.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4060a63408af49c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דרכון של בלגיה, הולנד ולוקסמבורג יהיה פטור מתשלום אגרה בעד בקשה להארכת רשיון לישיבת מעבר או לישיבת ביקור מסוג ב/2 לתקופה עד 12 חדשים מיום כניסתו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דרכון של הממלכה המאוחדת של בריטניה הגדולה יהיה פטור מתשלום אגרה בעד בקשה לאשרת חוזר.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(פקע)</w:t>
      </w:r>
    </w:p>
    <w:p>
      <w:pPr>
        <w:bidi/>
        <w:spacing w:before="70" w:after="5" w:line="250" w:lineRule="auto"/>
        <w:jc w:val="center"/>
      </w:pPr>
      <w:defaultTabStop w:val="720"/>
      <w:bookmarkStart w:name="h38" w:id="38"/>
      <w:bookmarkEnd w:id="3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5א(א))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מדינות הסדר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(1)</w:t>
      </w:r>
      <w:r>
        <w:rPr>
          <w:lang w:bidi="he-IL"/>
          <w:rFonts w:hint="cs" w:cs="FrankRuehl"/>
          <w:szCs w:val="26"/>
          <w:rtl/>
        </w:rPr>
        <w:tab/>
        <w:t xml:space="preserve">ארצות הברית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הכניסה לישראל, תשל"ד-1974,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b46c61aa99d476b" /><Relationship Type="http://schemas.openxmlformats.org/officeDocument/2006/relationships/hyperlink" Target="https://www.nevo.co.il/laws/#/60c37f76290ec6e2ffe0302f/clause/60c3815e290ec6e2ffe03070" TargetMode="External" Id="Rbad2744893bb4b8a" /><Relationship Type="http://schemas.openxmlformats.org/officeDocument/2006/relationships/hyperlink" Target="https://www.nevo.co.il/laws/#/60c37f76290ec6e2ffe0302f/clause/614af428fe2a09acc36e9c49" TargetMode="External" Id="R9003ba9cd8b74f46" /><Relationship Type="http://schemas.openxmlformats.org/officeDocument/2006/relationships/hyperlink" Target="https://www.nevo.co.il/laws/#/60c37f76290ec6e2ffe0302f/clause/60e855425769dc8afbf4d7aa" TargetMode="External" Id="R4060a63408af49c1" /><Relationship Type="http://schemas.openxmlformats.org/officeDocument/2006/relationships/header" Target="/word/header1.xml" Id="r97" /><Relationship Type="http://schemas.openxmlformats.org/officeDocument/2006/relationships/footer" Target="/word/footer1.xml" Id="r98" /></Relationships>
</file>