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96702ac020449b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הכשרות המשפטית והאפוטרופסות (סדר הדין וביצוע), תש"ל-1970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סדר הדין האזרחי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להכרזת פסול דין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אפוטרופוס</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המרשם</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הורה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בדבר הגבלת זכויותיו של הורה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מינוי אפוטרופוס</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פרטה</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סל מחיה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התפקיד</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שחרור מתצהיר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חשבונות אפוטרופסות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15ג</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הפרטה והדו"חות</w:t>
                </w:r>
              </w:p>
            </w:tc>
            <w:tc>
              <w:tcPr>
                <w:tcW w:w="800" w:type="pct"/>
              </w:tcPr>
              <w:p>
                <w:pPr>
                  <w:bidi/>
                  <w:spacing w:before="45" w:after="5" w:line="250" w:lineRule="auto"/>
                </w:pPr>
                <w:defaultTabStop w:val="720"/>
                <w:r>
                  <w:rPr>
                    <w:lang w:bidi="he-IL"/>
                    <w:rFonts w:hint="cs" w:cs="Times New Roman"/>
                    <w:szCs w:val="24"/>
                    <w:rtl/>
                  </w:rPr>
                  <w:t xml:space="preserve">סעיף 15ד</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מבדיקה</w:t>
                </w:r>
              </w:p>
            </w:tc>
            <w:tc>
              <w:tcPr>
                <w:tcW w:w="800" w:type="pct"/>
              </w:tcPr>
              <w:p>
                <w:pPr>
                  <w:bidi/>
                  <w:spacing w:before="45" w:after="5" w:line="250" w:lineRule="auto"/>
                </w:pPr>
                <w:defaultTabStop w:val="720"/>
                <w:r>
                  <w:rPr>
                    <w:lang w:bidi="he-IL"/>
                    <w:rFonts w:hint="cs" w:cs="Times New Roman"/>
                    <w:szCs w:val="24"/>
                    <w:rtl/>
                  </w:rPr>
                  <w:t xml:space="preserve">סעיף 15ה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מרכזי של פסולי דין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הכשרות המשפטית והאפוטרופסות (סדר הדין וביצוע), תש"ל-1970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53 ו-83 לחוק הכשרות המשפטית והאפוטרופסות, תשכ"ב-1962, ולפי סעיף 46 לחוק בתי המשפט, תשי"ז-1957,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"הנחיות מקדימות לאפוטרופוס" – הנחיות מקדימות לצורך מינוי אפוטרופוס, כמשמעותן בסעיף 35א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המשפט" – בית משפט המוסמך לפי 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הכשרות המשפטית והאפוטרופסות, 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 חשבון המנוהל בתאגיד בנקאי כהגדרתו בחוק הבנקאות (רישוי), התשמ"א-1981, או חשבון המנוהל באגודה בעלת רישיון למתן שירותי פיקדון ואשראי כמשמעותה בחוק הפיקוח על שירותים פיננסיים (שירותים פיננסיים מוסדרים), התשע"ו-2016, לרבות כספת;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אפוטרופסות" – חשבון בבעלות אדם שמונה לו אפוטרופוס;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"חשבון משותף" – חשבון בבעלות כמה אנשים;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"ממנה" – מי שממנה מיופה כוח לפי הוראות סימן ב' בפרק שני 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 מרשם ייפויי כוח מתמשכים, הנחיות מקדימות לאפוטרופוס ומסמכי הבעת רצון, שמנהל האפוטרופוס הכללי לפי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 לרבות זכויות בנכס;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"נכס משותף" – נכס בבעלות כמה אנשים, אשר לפחות אחד מהם הוא אדם שמונה לו אפוטרופוס;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"סל מחיה" – תקציב חודשי ממוצע לאדם שמונה לו אפוטרופוס בהתאם לפירוט ההכנסות וההוצאות השוטפות הממוצעות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"פרטי התקשרות" – מען, כהגדרתו בתקנות סדר הדין האזרחי, התשע"ט-2018, מספר טלפון נייד וכתובת דואר אלקטרוני, אם ישנה.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סדר הדין האזרחי</w:t>
                </w:r>
              </w:p>
            </w:txbxContent>
          </v:textbox>
        </v:rect>
      </w:pict>
      <w:r>
        <w:rPr>
          <w:lang w:bidi="he-IL"/>
          <w:rFonts w:hint="cs" w:cs="FrankRuehl"/>
          <w:szCs w:val="34"/>
          <w:rtl/>
        </w:rPr>
        <w:t xml:space="preserve">2.</w:t>
      </w:r>
      <w:r>
        <w:rPr>
          <w:lang w:bidi="he-IL"/>
          <w:rFonts w:hint="cs" w:cs="FrankRuehl"/>
          <w:szCs w:val="26"/>
          <w:rtl/>
        </w:rPr>
        <w:tab/>
        <w:t xml:space="preserve">בעניני כשרות משפטית ואפוטרופסות יחולו תקנות בית משפט לענייני משפחה (סדרי דין), התשפ"א-2020, במידה שאין בהן סתירה לתקנות 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3.</w:t>
      </w:r>
      <w:r>
        <w:rPr>
          <w:lang w:bidi="he-IL"/>
          <w:rFonts w:hint="cs" w:cs="FrankRuehl"/>
          <w:szCs w:val="26"/>
          <w:rtl/>
        </w:rPr>
        <w:tab/>
        <w:t xml:space="preserve">בקשה המוגשת לפי החוק תוגש לבית המשפט לענייני משפחה שבתחום סמכותו נמצא מקום מגוריו של הקטין, פסול הדין או האדם שמוגשת בקשה למנות לו אפוטרופוס או האדם שמונה לו אפוטרופוס או הממנה, ואם אין לו מקום מגורים בישראל, מקום הימצאם של נכסיו; לא היה לקטין, לפסול הדין או לאדם שמוגשת בקשה למנות לו אפוטרופוס או לאדם שמונה לו אפוטרופוס או לממנה מקום מגורים או נכסים בישראל, יהא מוסמך לדון בבקשה בית המשפט לענייני משפחה בתל אביב.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בקשה</w:t>
                </w:r>
              </w:p>
            </w:txbxContent>
          </v:textbox>
        </v:rect>
      </w:pict>
      <w:r>
        <w:rPr>
          <w:lang w:bidi="he-IL"/>
          <w:rFonts w:hint="cs" w:cs="FrankRuehl"/>
          <w:szCs w:val="34"/>
          <w:rtl/>
        </w:rPr>
        <w:t xml:space="preserve">4.</w:t>
      </w:r>
      <w:r>
        <w:rPr>
          <w:lang w:bidi="he-IL"/>
          <w:rFonts w:hint="cs" w:cs="FrankRuehl"/>
          <w:szCs w:val="26"/>
          <w:rtl/>
        </w:rPr>
        <w:tab/>
        <w:t xml:space="preserve">בקשה כאמור בתקנה 3 תוגש לבית המשפט בעותק אחד ומספר עתקים נוספים לפי הצורך, והיא תומצא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לפסול הדין או לאדם שמוגשת בקשה למנות לו אפוטרופוס או לאדם שמונה לו אפוטרופוס זולת אם בית המשפט הורה שאין להמציאה להם; מונה לאדם אפוטרופוס לדין או עורך דין בהליכים לפי החוק – תומצא הבקשה גם לאפוטרופוס לדין או לעורך הדין שמונה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לקטין – בהמצאה להורהו או לאפוטרופוס שלו ובאין לו הורים או אפוטרופוס – למי שהקטין נמצא באחריותו; מונה לקטין אפוטרופוס לדין או עורך דין בהליכים לפי החוק – תומצא הבקשה לאפוטרופוס לדין או לעורך הדין שמונה לו; בית המשפט יורה על העברת מסמכי הבקשה כולם או חלקם גם לקטין עצמו אם מצא כי יש בכך כדי לקדם את טובת הקטין בשים לב לגילו ולמידת בגרותו;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ליועץ המשפטי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למי שבית המשפט הורה על כך.</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להכרזת פסול דין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להכרזת פסול דין תהא בכתב; המבקש יפרט בבקשתו את שמו, מענו ומספר זהותו של מי שמבקשים להכריזו פסול דין, את הטעמים שעל יסודם מוגשת הבקשה ואת הענין שיש בה למבקש.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יצרף לבקשתו תצהיר לאימות העובדות הכלולות בבקשה ותעודת רופא על מצב בריאותו של מי שמבקשים להכריזו פסול דין.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אפוטרופוס</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למינוי אפוטרופוס תהיה בכתב; המבקש יפרט בבקשתו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ומספר זהותו של האדם שמבקשים למנות לו אפוטרופוס, ופרטי ההתקשרות עימו, וכן שמותיהם של בני משפחה מדרגה ראשונה הידועים למבקש, ופרטי ההתקשרות עימם;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הטעמים שעל יסודם יש למנות אפוטרופוס, תוך התייחסות לעניינים שיש למסור לאפוטרופוס ולתקופת המינוי הנדרשת;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עמדתו של האדם שמבקשים למנות לו אפוטרופוס, ואם לא ניתן לבררה תצוין הסיבה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פרטיהם של בני משפחתו מדרגה ראשונה של האדם שמבקשים למנות לו אפוטרופוס, הידועים למבקש, תוך ציון קרבתם לאותו אדם ועמדתם לבקשה המוגשת בעניינו, אם ניתן לבררה במאמץ סביר.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בבקשה למינוי אפוטרופוס לענייני רכוש יפרט המבקש, אם ידוע לו במועד הגשת הבקשה, על אודות חובות ועל אודות זכויות ברכוש של האדם שמבקשים למנות לו אפוטרופוס, לרבות זכויות בנכס משותף או בחשבון משותף, זכויות שעתידות לקום לו בנכסים וזכויות בנכסים אף אם אינן רשומות על שמו, וכן על אודות הנחיות מקדימות לצורך מינוי אפוטרופוס שניתנו ונערכו לפי סעיף 35א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יצרף לבקשה תצהיר לאימות העובדות הכלולות בה וכן יציין אם למיטב ידיעתו, נערכו או הופקדו במרשם ייפוי כוח מתמשך, הנחיות מקדימות לאפוטרופוס או מסמך הבעת רצון, הנוגעים למינוי אפוטרופוס לאותו אדם, ויצרפם אם הם מצויים בידיו.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הציע המבקש אפוטרופוס שהוא מבקש למנות, יפרט בבקשה את שמו, מספר זהותו ופרטי ההתקשרות עימו, ויציין את הזיקה שלו לאדם שלגביו מתבקש המינוי, ובכלל זה אם הוא קרוב משפחתו או אם יש קשר עסקי או כלכלי ביניהם או אם יש להם נכסים משותפים או חובות ביניהם או כל זיקה אחרת, ויצרף לבקשה את הסכמתו בכתב של האפוטרופוס, כולל ציון מספר האנשים שהוא משמש להם אפוטרופוס במועד הגשת הבקשה ושאינם קרובי משפחתו, אם קיימים.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המרשם</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הוגשה בקשה למינוי אפוטרופוס לאדם, יפנה בית המשפט למרשם באופן מקוון לצורך בדיקה אם הופקדו ייפוי כוח מתמשך, הנחיות מקדימות לאפוטרופוס או מסמך הבעת רצון המתייחסים לאותו אדם; אם הופקד אחד המסמכים האמורים, הוא יועבר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בית המשפט כי הופקד ייפוי כוח מתמשך בעניינים שלגביהם מתבקש המינוי, יצורף מיופה הכוח כצד להליך; בית המשפט ישלח הודעה על קיומו של ייפוי כוח מתמשך לצדדים כדי לאפשר להם לבקש למחוק את הבקשה או לטעון כי התקיימו התנאים כאמור בסעיף 33א(ג)(1) לחוק למינוי אפוטרופוס על אף קיומו של ייפוי הכוח.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בית המשפט כי הופקדו הנחיות מקדימות לאפוטרופוס או מסמך הבעת רצון, יצורף האפוטרופוס שמינויו מתבקש בהם כצד להליך וישלח הודעה על כך לצדדים.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הורה</w:t>
                </w:r>
              </w:p>
            </w:txbxContent>
          </v:textbox>
        </v:rect>
      </w:pict>
      <w:r>
        <w:rPr>
          <w:lang w:bidi="he-IL"/>
          <w:rFonts w:hint="cs" w:cs="FrankRuehl"/>
          <w:szCs w:val="34"/>
          <w:rtl/>
        </w:rPr>
        <w:t xml:space="preserve">7.</w:t>
      </w:r>
      <w:r>
        <w:rPr>
          <w:lang w:bidi="he-IL"/>
          <w:rFonts w:hint="cs" w:cs="FrankRuehl"/>
          <w:szCs w:val="26"/>
          <w:rtl/>
        </w:rPr>
        <w:tab/>
        <w:t xml:space="preserve">בקשה של הורה לבית המשפט על פי סעיפים 19 או 25 לחוק תהא בכתב; העתק של הבקשה יומצא להורה השני.</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בדבר הגבלת זכויותיו של הורה</w:t>
                </w:r>
              </w:p>
            </w:txbxContent>
          </v:textbox>
        </v:rect>
      </w:pict>
      <w:r>
        <w:rPr>
          <w:lang w:bidi="he-IL"/>
          <w:rFonts w:hint="cs" w:cs="FrankRuehl"/>
          <w:szCs w:val="34"/>
          <w:rtl/>
        </w:rPr>
        <w:t xml:space="preserve">8.</w:t>
      </w:r>
      <w:r>
        <w:rPr>
          <w:lang w:bidi="he-IL"/>
          <w:rFonts w:hint="cs" w:cs="FrankRuehl"/>
          <w:szCs w:val="26"/>
          <w:rtl/>
        </w:rPr>
        <w:tab/>
        <w:t xml:space="preserve">לא יורה בית המשפט על פי סעיפים 26, 27 או 28 לחוק, אלא לאחר שנתן הזדמנות לכל אחד מהורי הקטין, וכן לאפוטרופסו אם נתמנה, להשמיע דברו.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מינוי אפוטרופוס</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צו למינוי אפוטרופוס ייערך לפי טופס 1 שבתוספת.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על מינוי אפוטרופוס תהיה מנומקת והיא תכלול את השיקולים ששקל בית המשפט במינוי האפוטרופוס לרבות בכל הנוגע להיקף העניינים שנמסרו לאפוטרופוס ולתקופת המינוי; במינוי אפוטרופוס לבגיר תכלול ההחלטה גם את השיקולים המנויים בסעיף 33א לחוק וכן יצוין אם האדם שמבקשים למנות לו אפוטרופוס נשמע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מתן ההחלטה ימציא בית המשפט העתק של צו המינוי וההחלטה לאפוטרופוס הכללי ויצרף אליו העתק מהבקשה למינוי, על כל נספחיה לרבות כל מסמך שהוגש בעניין הבקשה, זולת אם הורה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ימציא העתק של צו המינוי גם לאפוטרופוס שמונה, למגיש הבקשה, לאדם שמונה לו אפוטרופוס, לבא כוחו של היועץ המשפטי לממשלה ולכל מי שיורה, והוא רשאי להורות על המצאת נימוקי המינוי ומסמכים אחרים אם מצא שהדבר מוצדק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פרטה</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פרטה שמגיש אפוטרופוס לפי סעיף 51 לחוק תכלול פרטים בדבר כלל נכסיו והתחייבויותיו של האדם שמונה לו אפוטרופוס, ופרטים לגבי הליכים הנוגעים לאותו אדם, ובכלל זה כל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שמם ומספרי זהותם של האדם והאפוטרופוס, פרטי ההתקשרות עימם וציון סוג הקרבה ביניהם;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שנת הלידה של האדם ושל האפוטרופוס;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תיק מינוי האפוטרופוס בבית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נסיבות המינוי;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נכסיו של האדם, לרבות נכסי מקרקעין ומיטלטלין, בעלות בעסק, נכסים פיננסיים, ובכלל זה ניירות ערך וכסף מזומן, וכן ביטוחים קיימים על שם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חובות שחב בהם האדם וכספים המגיעים לו או צפויים להגיע לו בתקופה הקרובה;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פרטי הליכים משפטיים שהאדם צד להם, ובכלל זה מספרי ההליכים;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הליכי מיצוי זכויות שנערכים בעבור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מקום מגורי האדם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קרובי האדם ואנשים נוספים שהאדם בקשר קבוע או רציף איתם, ותדירות ביקוריהם אצל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מצבו של האדם בעניינים רפואיים ואישיים;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קשר עם גורמים טיפוליים;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פעילויות שבהן האדם משתתף;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(14)</w:t>
      </w:r>
      <w:r>
        <w:rPr>
          <w:lang w:bidi="he-IL"/>
          <w:rFonts w:hint="cs" w:cs="FrankRuehl"/>
          <w:szCs w:val="26"/>
          <w:rtl/>
        </w:rPr>
        <w:tab/>
        <w:t xml:space="preserve">יכולתו של האדם להתנהל באופן עצמאי.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פרטה תכלול אסמכתאות על אודות נכסי האדם והתחייבויותיו וכן הצהרה של האפוטרופוס על אודות נכונות הפרטים שמסר, ואם לאדם מונו כמה אפוטרופסים לענייני רכוש – גם על אודות ידיעתם ואישורם את הדוח.</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סל מחיה</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האפוטרופוס יגיש לאפוטרופוס הכללי טופס לקביעת סל מחיה (להלן – טופס סל מחיה) עם הגשת הפרטה ונוסף על כך יגיש טופס כאמור בכל פעם שחל שינוי משמעותי בהכנסותיו או בהוצאותיו של האדם שמונה לו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יגיש את טופס סל המחיה על גבי טופס ייעודי לכך שיפרסם האפוטרופוס הכללי באתר האינטרנט שלו ויפרט בו את הוצאות האדם שמונה לו אפוטרופוס.</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דין וחשבון שמגיש אפוטרופוס לפי סעיף 53 לחוק, יכלול את הפרטים האלה לגבי תקופת אותו דין וחשבון: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שמם ומספרי זהותם של האדם שמונה לו אפוטרופוס והאפוטרופוס, ופרטי ההתקשרות עימם;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המגורים בפועל של האדם שמונה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שינויים משמעותיים הנוגעים לאדם שמונה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ההוצאות וההכנסות של האדם שמונה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פירוט הנכסים והחובות של האדם שמונה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פירוט על אודות הליכים משפטיים שהאדם שמונה לו אפוטרופוס צד להם, לרבות מספרי ההליכים;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פרטים על הפעולות שביצע, כולל ביקוריו אצל האדם שמונה לו אפוטרופוס, קיום קשר עם קרוביו ועם גורמים טיפוליים, טיפולו בניהול נכסי האדם ובשמירה על זכויותיו וכן בדבר ביטוחו של האדם בביטוח רפואי וסוציאלי;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עניינים משמעותיים הנוגעים לאדם שמונה לו אפוטרופוס הנמצאים בטיפול האפוטרופוס.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האמור בתקנת משנה (א), דין וחשבון כאמור באותה תקנת משנה יכלול אסמכתאות על אודות נכסי האדם והתחייבויותיו לגבי התקופה שאליה מתייחס הדין וחשבון וכן הצהרה של האפוטרופוס אודות נכונות הפרטים שמסר, ואם לאדם מונו כמה אפוטרופסים לענייני רכוש – גם על אודות ידיעתם ואישורם את הדוח.</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משנודע לאפוטרופוס שיש בנכסי האדם שמונה לו אפוטרופוס מקרקעין או נכסים אחרים שמתנהלים לגביהם לפי כל דין פנקסים המשמשים לרישום זכויות בעלות, ידאג שתירשם בהם הערה על מינוי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על הרישום ירשום הערה כאמור משהוגש לו צו המינוי.</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התפקיד</w:t>
                </w:r>
              </w:p>
            </w:txbxContent>
          </v:textbox>
        </v:rect>
      </w:pict>
      <w:r>
        <w:rPr>
          <w:lang w:bidi="he-IL"/>
          <w:rFonts w:hint="cs" w:cs="FrankRuehl"/>
          <w:szCs w:val="34"/>
          <w:rtl/>
        </w:rPr>
        <w:t xml:space="preserve">11.</w:t>
      </w:r>
      <w:r>
        <w:rPr>
          <w:lang w:bidi="he-IL"/>
          <w:rFonts w:hint="cs" w:cs="FrankRuehl"/>
          <w:szCs w:val="26"/>
          <w:rtl/>
        </w:rPr>
        <w:tab/>
        <w:t xml:space="preserve">בכל מסמך, הליך משפטי או פעולה של האפוטרופוס מכוח תפקידו יצויין שהוא פועל מטעם האדם שמונה לו אפוטרופוס.</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ליועץ המשפטי לממשלה</w:t>
                </w:r>
              </w:p>
            </w:txbxContent>
          </v:textbox>
        </v:rect>
      </w:pict>
      <w:r>
        <w:rPr>
          <w:lang w:bidi="he-IL"/>
          <w:rFonts w:hint="cs" w:cs="FrankRuehl"/>
          <w:szCs w:val="34"/>
          <w:rtl/>
        </w:rPr>
        <w:t xml:space="preserve">12.</w:t>
      </w:r>
      <w:r>
        <w:rPr>
          <w:lang w:bidi="he-IL"/>
          <w:rFonts w:hint="cs" w:cs="FrankRuehl"/>
          <w:szCs w:val="26"/>
          <w:rtl/>
        </w:rPr>
        <w:tab/>
        <w:t xml:space="preserve">העתק של כל בקשה או מסמך אחר המוגשים לפי החוק לבית המשפט יועבר לבא כוחו של היועץ המשפטי לממשלה במשרד האפוטרופוס הכללי שבתחום סמכותו של בית המשפט שאליו הוגשה הבקשה; הוראה זו לא תחול על בקשה שהאפוטרופוס הכללי הינו משיב בה.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שחרור מתצהיר</w:t>
                </w:r>
              </w:p>
            </w:txbxContent>
          </v:textbox>
        </v:rect>
      </w:pict>
      <w:r>
        <w:rPr>
          <w:lang w:bidi="he-IL"/>
          <w:rFonts w:hint="cs" w:cs="FrankRuehl"/>
          <w:szCs w:val="34"/>
          <w:rtl/>
        </w:rPr>
        <w:t xml:space="preserve">13.</w:t>
      </w:r>
      <w:r>
        <w:rPr>
          <w:lang w:bidi="he-IL"/>
          <w:rFonts w:hint="cs" w:cs="FrankRuehl"/>
          <w:szCs w:val="26"/>
          <w:rtl/>
        </w:rPr>
        <w:tab/>
        <w:t xml:space="preserve">בענייני כשרות משפטית ואפוטרופסות המתנהלים לפי החוק בפני בית המשפט או הרשם רשאי הוא לפטור כל צד מהגשת תצהיר והוא יכול לדרוש תצהירים נוספים.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אפוטרופוס ינהל פנקסים לפי הכללים המקובלים כפי שפרסם האפוטרופוס הכללי, באופן שיאפשרו עריכת דין וחשבון כספי ופירוט הנכסים והחובות.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הפנקסים האמורים יכללו, בין השאר, רישום שוטף של ההכנסות וההוצאות, ויפורטו לגבי כל הכנסה – מקורה, ולגבי כל הוצאה – יעודה.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אפוטרופוס יקפיד על קיום אסמכתה לכל הוצאה והכנסה חוץ מסכומים קטנים שלפי הנוהג אין להם קבלות.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כלל תפקידו של האפוטרופוס ניהול עסק של האדם שמונה לו אפוטרופוס, ינהל לגביו פנקסי חשבונות נפרדים.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חשבונות אפוטרופסות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אפוטרופוס ינהל את כספי האדם שמונה לו אפוטרופוס (בתקנה זו – אדם) בחשבון נפרד על שם האדם, ובכלל זה חשבון קיים של האדם שהוא על שמו בלבד; היה האדם שותף בחשבון משותף טרם מינוי האפוטרופוס, ינהל האפוטרופוס עם המינוי את כספי האדם בחשבון 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בחשבון אפוטרופסות מורשה חתימה, יפעל האפוטרופוס לביטול הרשאותיו לפעול בחשבון בתכוף ככל האפשר לאחר מינויו או ינהל את כספי האדם בחשבון נפרד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היה האדם שותף בחשבון משותף טרם המינוי ושותפו של האדם בחשבון הוא בן זוגו שעימו הוא מנהל משק בית משותף, רשאי האפוטרופוס, בהסכמת בן הזוג האמור, להמשיך ולנהל את כספי האדם בחשבון המשותף; חובות הדיווח לאפוטרופוס הכללי החלות על האפוטרופוס לפי כל דין, יחולו על כלל הפעילות בחשבון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האפוטרופוס הכללי רשאי להורות, מיוזמתו או לבקשת אפוטרופוס שמונה לאדם, על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כי הוראות תקנת משנה (א) או (ב) לא יחולו בנוגע לחשבונות האפוטרופסות של האדם,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הפרדת חשבון משותף עם בן הזוג, וזאת על אף האמור בתקנת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הורה האפוטרופוס הכללי כאמור בתקנת משנה (ד) או דחה בקשה של אפוטרופוס כאמור באותה תקנת משנה, יהיה רשאי האפוטרופוס לפנות לבית המשפט בבקשה למתן הוראות לפי סעיף 44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הוראות האפוטרופוס הכללי לפי תקנה (ד) יימסרו לאפוטרופוס של האדם לבקשתו, לשם הצגתן לפני כל גורם.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15א.</w:t>
      </w:r>
      <w:r>
        <w:rPr>
          <w:lang w:bidi="he-IL"/>
          <w:rFonts w:hint="cs" w:cs="FrankRuehl"/>
          <w:szCs w:val="26"/>
          <w:rtl/>
        </w:rPr>
        <w:tab/>
        <w:t xml:space="preserve">האפוטרופוס יעשה ביטוחים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מפני אבדן רכוש ומפני אש – של נכסי האדם שמונה לו 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מפני אחריות מעבידים – לגבי העובדים שהוא מעסיק בקשר עם נכסי האדם שמונה לו אפוטרופוס.</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15ב.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15ג.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הפרטה והדו"חות</w:t>
                </w:r>
              </w:p>
            </w:txbxContent>
          </v:textbox>
        </v:rect>
      </w:pict>
      <w:r>
        <w:rPr>
          <w:lang w:bidi="he-IL"/>
          <w:rFonts w:hint="cs" w:cs="FrankRuehl"/>
          <w:szCs w:val="34"/>
          <w:rtl/>
        </w:rPr>
        <w:t xml:space="preserve">15ד.</w:t>
        <w:tab/>
      </w:r>
      <w:r>
        <w:rPr>
          <w:lang w:bidi="he-IL"/>
          <w:rFonts w:hint="cs" w:cs="FrankRuehl"/>
          <w:szCs w:val="26"/>
          <w:rtl/>
        </w:rPr>
        <w:t xml:space="preserve">(א)</w:t>
      </w:r>
      <w:r>
        <w:rPr>
          <w:lang w:bidi="he-IL"/>
          <w:rFonts w:hint="cs" w:cs="FrankRuehl"/>
          <w:szCs w:val="26"/>
          <w:rtl/>
        </w:rPr>
        <w:tab/>
        <w:t xml:space="preserve">האפוטרופוס הכללי רשאי להחליט בכל מקרה על אופן בדיקת הפרטה וכן על אופן הביקורת עליה לשם אימות תוכנה.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האפוטרופוס הכללי רשאי להורות לאפוטרופוס להגיש לו דו"ח כשהוא מבוקר ומאושר בידי רואה חשבון או בידי מבקר שיקבע; דו"ח לגבי ניהול עסק של האדם שמונה לו אפוטרופוס יוגש בכל מקרה כשהוא מבוקר ומאושר בידי רואה חשבון, אלא אם כן הורה האפוטרופוס הכללי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סיום הבדיקה, ירשום האפוטרופוס הכללי את ממצאיו על גבי הפרטה או הדו"ח שבדק, או בגליון נפרד לרישום הערות שיקבע לענין זה.</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מבדיקה</w:t>
                </w:r>
              </w:p>
            </w:txbxContent>
          </v:textbox>
        </v:rect>
      </w:pict>
      <w:r>
        <w:rPr>
          <w:lang w:bidi="he-IL"/>
          <w:rFonts w:hint="cs" w:cs="FrankRuehl"/>
          <w:szCs w:val="34"/>
          <w:rtl/>
        </w:rPr>
        <w:t xml:space="preserve">15ה.</w:t>
        <w:tab/>
      </w:r>
      <w:r>
        <w:rPr>
          <w:lang w:bidi="he-IL"/>
          <w:rFonts w:hint="cs" w:cs="FrankRuehl"/>
          <w:szCs w:val="26"/>
          <w:rtl/>
        </w:rPr>
        <w:t xml:space="preserve">(א)</w:t>
      </w:r>
      <w:r>
        <w:rPr>
          <w:lang w:bidi="he-IL"/>
          <w:rFonts w:hint="cs" w:cs="FrankRuehl"/>
          <w:szCs w:val="26"/>
          <w:rtl/>
        </w:rPr>
        <w:tab/>
        <w:t xml:space="preserve">האפוטרופוס הכללי פטור מבדיקת דו"ח בכל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האפוטרופוס לא הוסמך ולא נדרש לטפל ברכושו של האדם שמונה לו אפוטרופוס;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לדעת האפוטרופוס הכללי אין שווים הכולל של נכסי האדם שמונה לו אפוטרופוס מצדיק את ההוצאה הנדרשת לבדיקת הדו"ח;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מעיון ראשון בדו"ח נראה לאפוטרופוס הכללי כי הוא נערך כשורה ובוקר כדבעי, וכי אין בו כדי להצביע על פעולות הטעונות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האפוטרופוס הכללי לבדוק גם דו"ח כאמור בה אם ראה סיבה מיוחדת לעשות כן.</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מרכזי של פסולי דין</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ליד בית המשפט המחוזי בירושלים יתקיים משרד לרישום מרכזי של פסולי דין, וכל דורש יהא רשאי לעיין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הכריז בית משפט על אדם כפסול דין, ישלח הודעה על כך אל המשרד לרישום מרכזי של פסולי דין; ההודעה תציין את שמו, מספר זהותו ומענו של מי שהוכרז כפסול דין, את תאריך ההכרזה, את מספר התיק ואת בית המשפט שהחליט בדבר ההכרזה האמורה.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17.</w:t>
      </w:r>
      <w:r>
        <w:rPr>
          <w:lang w:bidi="he-IL"/>
          <w:rFonts w:hint="cs" w:cs="FrankRuehl"/>
          <w:szCs w:val="26"/>
          <w:rtl/>
        </w:rPr>
        <w:tab/>
        <w:t xml:space="preserve">לתקנות אלה ייקרא "תקנות הכשרות המשפטית והאפוטרופסות (סדר הדין וביצוע), תש"ל-1970".</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f358872686847e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(נמחק)</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הכשרות המשפטית והאפוטרופסות (סדר הדין וביצוע), תש"ל-1970, נוסח עדכני נכון ליום 27.08.2022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9e82e84be87472d" /><Relationship Type="http://schemas.openxmlformats.org/officeDocument/2006/relationships/hyperlink" Target="https://www.nevo.co.il/laws/#/6050cea4a17a9b43c12a65ab/clause/62e21be72fa3042bfb7ed0c1" TargetMode="External" Id="Rff358872686847e8" /><Relationship Type="http://schemas.openxmlformats.org/officeDocument/2006/relationships/header" Target="/word/header1.xml" Id="r97" /><Relationship Type="http://schemas.openxmlformats.org/officeDocument/2006/relationships/footer" Target="/word/footer1.xml" Id="r98" /></Relationships>
</file>