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56b154524bd4d5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המועצה להשכלה גבוהה (אגרות),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תשלום אגרה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אגרה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המועצה להשכלה גבוהה (אגרות),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31 לחוק המועצה להשכלה גבוהה, התשי"ח-1958 (להלן – החוק), בהסכמת שר האוצר ובאישורו לפי סעיף 30 לחוק יסודות התקציב, התשמ"ה-1985, ובאישור ועדת החינוך התרבות והספורט של הכנסת,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תשלום אגרה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בעד הגשת בקשה מן המפורטות בטור א' בתוספת, תשולם האגרה שנקבעה בטור ב' לצדה.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האגרה תשולם עם הגשת הבקשה, לפי העניין, כאמור בתקנה 2(ד), זולת אם נאמר אחרת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תתקבל בקשה כאמור בתקנת משנה (א), אלא אם כן שולמה האגרה בעד הגשתה.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בתקנה זו, "מדד" – מדד המחירים לצרכן שמפרסמת הלשכה המרכזית לסטטיסטיקה.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האגרה הנקובים בתוספת ישתנו ב-1 באוקטובר של כל שנה (להלן – יום השינוי), לפי שיעור השינוי של המדד שפורסם בחודש יולי שקדם ליום השינוי לעומת המדד שפורסם בחודש יולי שקדם ליום השינוי הקודם, ולעניין יום השינוי הראשון שלאחר תחילתן של תקנות אלה, המדד שפורסם בחודש יולי 2012.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שהשתנה כאמור יעוגל לשקל החדש השלם הקרוב, כלפי מעלה.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אגרה תשולם בבנק הדואר; העתק הקבלה של בנק הדואר תימסר למועצה להשכלה גבוהה במצורף לבקשה שאליה היא מתייחסת.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או מי שהוא הסמיך לכך יפרסם בהודעה ברשומות את נוסח התוספת כפי שהשתנה לפי תקנה זו.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אגרה</w:t>
                </w:r>
              </w:p>
            </w:txbxContent>
          </v:textbox>
        </v:rect>
      </w:pict>
      <w:r>
        <w:rPr>
          <w:lang w:bidi="he-IL"/>
          <w:rFonts w:hint="cs" w:cs="FrankRuehl"/>
          <w:szCs w:val="34"/>
          <w:rtl/>
        </w:rPr>
        <w:t xml:space="preserve">3.</w:t>
      </w:r>
      <w:r>
        <w:rPr>
          <w:lang w:bidi="he-IL"/>
          <w:rFonts w:hint="cs" w:cs="FrankRuehl"/>
          <w:szCs w:val="26"/>
          <w:rtl/>
        </w:rPr>
        <w:tab/>
        <w:t xml:space="preserve">הודיע מי שהגיש בקשה להסמכת מוסד מוכר להעתיק תואר מוכר לפי סעיף 23 לחוק על ביטול הבקשה בתוך שלושה חודשים מיום הגשתה, תוחזר מלוא האגרה ששולמה; הודעה על ביטול בקשה לפי תקנה זאת תימסר בכתב למועצה להשכלה גבוהה.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ביום י"ד באלול התשע"ב (1 בספטמבר 2012).</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f0f806328daf434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החינוך</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המועצה להשכלה גבוהה (אגרות),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01e561ee1e1465d" /><Relationship Type="http://schemas.openxmlformats.org/officeDocument/2006/relationships/hyperlink" Target="https://www.nevo.co.il/laws/#/62931fe4120eaa807d89d805/clause/62932196120eaa807d89d856" TargetMode="External" Id="Rf0f806328daf434b" /><Relationship Type="http://schemas.openxmlformats.org/officeDocument/2006/relationships/header" Target="/word/header1.xml" Id="r97" /><Relationship Type="http://schemas.openxmlformats.org/officeDocument/2006/relationships/footer" Target="/word/footer1.xml" Id="r98" /></Relationships>
</file>