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67641abd9f41c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המיילדות (החזקת פטידין והשימוש בו),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פטידין והשימוש בו</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המיילדות (החזקת פטידין והשימוש בו),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 ו-19(ח) לפקודת המיילדות (להלן – הפקודה), ובאישור שר הבריאות,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פטידין והשימוש בו</w:t>
                </w:r>
              </w:p>
            </w:txbxContent>
          </v:textbox>
        </v:rect>
      </w:pict>
      <w:r>
        <w:rPr>
          <w:lang w:bidi="he-IL"/>
          <w:rFonts w:hint="cs" w:cs="FrankRuehl"/>
          <w:szCs w:val="34"/>
          <w:rtl/>
        </w:rPr>
        <w:t xml:space="preserve">1.</w:t>
      </w:r>
      <w:r>
        <w:rPr>
          <w:lang w:bidi="he-IL"/>
          <w:rFonts w:hint="cs" w:cs="FrankRuehl"/>
          <w:szCs w:val="26"/>
          <w:rtl/>
        </w:rPr>
        <w:tab/>
        <w:t xml:space="preserve">בעלת רישיון לעסוק ביילוד לפי הפקודה רשאית להחזיק את התכשיר פטידין, ולטפל ביולדת בתכשיר האמור, ובלבד שנתקיימו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תהליך הלידה, במהלכו מטפלת בעלת הרישיון ביולדת בתכשיר פטידין, מתבצע בניהולה של המיילדת, בין בבית היולדת, ובין בבית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בעלת הרישיון סיימה קורס מיילדות, כמשמעותו בתקנה 9 לתקנות בריאות העם (עוסקים בסיעוד בבתי חולים), התשמ"ט-1988, שכלל הכשרה בנושא טיפול בתכשיר פטידין, ונרשמה בפנקס במדור מיילדת, כמשמעותו באותה תקנה, או סיימה השתלמות מוכרת, כמשמעותה בתקנה 10 לתקנות האמורות, בנושא טיפול בתכשיר פטידין, ונרשמה בפנקס במדור השתלמות, כמשמעותו באותה תקנה.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 ישראלי</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המיילדות (החזקת פטידין והשימוש בו), תשס"ט-2009, נוסח עדכני נכון ליום 24.03.2023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d47c4aeaac345ca" /><Relationship Type="http://schemas.openxmlformats.org/officeDocument/2006/relationships/header" Target="/word/header1.xml" Id="r97" /><Relationship Type="http://schemas.openxmlformats.org/officeDocument/2006/relationships/footer" Target="/word/footer1.xml" Id="r98" /></Relationships>
</file>