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ffbe20a47be447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הנהיגה הספורטיבית (אגרת הגשת בקשה לרישיון כלי תחרותי),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רישיון כלי תחרותי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מאגרה והחזרתה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הנהיגה הספורטיבית (אגרת הגשת בקשה לרישיון כלי תחרותי),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32 ו-33 לחוק הנהיגה הספורטיבית, התשס"ו-2005 (להלן – החוק), בהסכמת שר האוצר ובאישורו לפי סעיף 39ב לחוק יסודות התקציב, התשמ"ה-1985, ובאישור ועדת הכספים של הכנסת, אני מתקינה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רישיון כלי תחרותי</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אגרה בעד הגשת בקשה לרישיון כלי תחרותי או לחידושו, לפי סעיף 6 לחוק, תהיה כמפורט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שולמה האגרה אחרי מועד פקיעת תוקפו של הרישיון, יהיה שיעורה כשיעור האגרה שבתוקף ביום התשלום; לא תשולם אגרה בעד תקופה שבה רישיון הכלי התחרותי לא היה תקף.</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מאגרה והחזרתה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בתקנה זו, "היום הקובע" – אחד מאלה,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יום ההודעה על הפסקת השימוש בכלי תחרותי לפי תקנה 14(א) לתקנות הנהיגה הספורטיבית (רישיון כלי תחרותי), התש"ע-2010 (להלן – תקנות רישיון כלי תחרותי);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יום קרות אחד מהמקרים המפורטים בתקנה 14(ב)(1) ו-(2) לתקנות רישיון כלי תחרותי;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היום שבו נמסרה ההודעה למשטרה על גניבת כלי תחרותי.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כלי תחרותי פטור מאגרת רישיון כלי תחרותי, החל מהיום הקובע, אם נתקיים בכלי התחרותי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האמור בתקנה 13 לתקנות רישיון כלי תחרותי בדבר כלי תחרותי שיצא מכלל שימוש או שהוצא מישראל;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האמור בתקנה 14 לתקנות רישיון כלי תחרותי, בדבר הפסקת השימוש בכלי תחרותי, ובמשך חודש ימים אחד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הכלי התחרותי נגנב, נמסרה למשטרה הודעה על כך והוא לא הוחזר לבעליו בתוך חודש ימים מיום מסירת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שולמה אגרת הרישיון בעבור התקופה הפטורה מאגרה כאמור בתקנת משנה (ב), זכאי בעל הכלי התחרותי להחזר האגרה ששילם בעבור התקופה האמורה, ובלבד שהגיש בקשה להחזר כאמור לא יאוחר משנתיים מהיום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סכום האגרה כאמור בתקנת משנה (ג) יהיה שווה לסכום המתקבל מהיחס שבין סכום האגרה כאמור לבין האגרה כולה, השווה ליחס שבין התקופה הפטורה מאגרה לפי תקנת משנה (א) לתקופת הרישיון כולה; לסך האמור יצורפו הפרשי הצמדה למדד המחירים לצרכן שפרסמה הלשכה המרכזית לסטטיסטיקה לפי המדד הידוע ביום ביצוע החזר האגרה לעומת המדד שהיה ידוע ביום תשלום האגרה, כשהוא מעוגל לשקל החדש השלם הקרוב; סכום של מחצית השקל יעוגל כלפי מעלה.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סכומי האגרות הנקובים בתוספת ישתנו ב-1 באפריל של כל שנה (להלן – יום השינוי), לפי שיעור השינוי במדד המחירים לצרכן שפרסמה הלשכה המרכזית לסטטיסטיקה (להלן – המדד), בחודש ינואר שקדם ליום השינוי לעומת המדד שפורסם בחודש ינואר בשנה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שהשתנה כאמור בתקנת משנה (א) יעוגל לשקל החדש השלם הקרוב; סכום של מחצית השקל החדש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משרד התרבות והספורט יפרסם בהודעה ברשומות את נוסח התוספת כפי שהשתנו עקב האמור בתקנות משנה (א) ו-(ב).</w:t>
      </w:r>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1(א))</w:t>
      </w:r>
    </w:p>
    <w:p>
      <w:pPr>
        <w:bidi/>
        <w:spacing w:before="45" w:after="5" w:line="250" w:lineRule="auto"/>
        <w:jc w:val="center"/>
      </w:pPr>
      <w:defaultTabStop w:val="720"/>
      <w:r>
        <w:rPr>
          <w:lang w:bidi="he-IL"/>
          <w:rFonts w:hint="cs" w:cs="FrankRuehl"/>
          <w:szCs w:val="26"/>
          <w:rtl/>
        </w:rPr>
        <w:t xml:space="preserve">אגרת רישיון כלי תחרותי וחידושו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fc6a55cc6074c2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הנהיגה הספורטיבית (אגרת הגשת בקשה לרישיון כלי תחרותי),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a0bc4e1402942bb" /><Relationship Type="http://schemas.openxmlformats.org/officeDocument/2006/relationships/hyperlink" Target="https://www.nevo.co.il/laws/#/620d17cf42c1285c2812f631/clause/620d28ff42c1285c2812f68d" TargetMode="External" Id="R3fc6a55cc6074c24" /><Relationship Type="http://schemas.openxmlformats.org/officeDocument/2006/relationships/header" Target="/word/header1.xml" Id="r97" /><Relationship Type="http://schemas.openxmlformats.org/officeDocument/2006/relationships/footer" Target="/word/footer1.xml" Id="r98" /></Relationships>
</file>