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377d70e19448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(שפיטה, ענישה ודרכי טיפול) (טיפול עוקב),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קצין מעקב ראשי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מרכז קציני מעקב במחוז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קצין מעקב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הטיפול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תקופת הטיפול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קצין המעקב המטפל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התיקים האישיים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ידיעות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הנוער (שפיטה, ענישה ודרכי טיפול) (טיפול עוקב), תשל"ו-1976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44(א) לחוק הנוער (שפיטה, ענישה ודרכי טיפול), תשל"א-1971,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הסעד;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"מחוז" – כאמור בהודעה על חלוקת שטח המדינה למחוזות ולנפות ותיאורי גבולותיהם.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קצין מעקב ראשי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השר יסמיך קצין מעקב ראשי אשר ירכז ויארגן את עבודת קציני המעקב ויפקח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מעקב ראשי יפעל לקידום הטיפול העוקב בתיאום עם גורמים ממשלתיים, ציבוריים או אחרים, וידאג לתכנון ופיתוח הטיפול בהתאם לצרכים המשתנים של הנמצאים בטיפול.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מרכז קציני מעקב במחוז</w:t>
                </w:r>
              </w:p>
            </w:txbxContent>
          </v:textbox>
        </v:rect>
      </w:pict>
      <w:r>
        <w:rPr>
          <w:lang w:bidi="he-IL"/>
          <w:rFonts w:hint="cs" w:cs="FrankRuehl"/>
          <w:szCs w:val="34"/>
          <w:rtl/>
        </w:rPr>
        <w:t xml:space="preserve">3.</w:t>
      </w:r>
      <w:r>
        <w:rPr>
          <w:lang w:bidi="he-IL"/>
          <w:rFonts w:hint="cs" w:cs="FrankRuehl"/>
          <w:szCs w:val="26"/>
          <w:rtl/>
        </w:rPr>
        <w:tab/>
        <w:t xml:space="preserve">השר יסמיך קצין מעקב בכל מחוז אשר ירכז את עבודת קציני המעקב במחוז, תוך תיאום עם קצין המעקב הראשי.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קצין מעקב</w:t>
                </w:r>
              </w:p>
            </w:txbxContent>
          </v:textbox>
        </v:rect>
      </w:pict>
      <w:r>
        <w:rPr>
          <w:lang w:bidi="he-IL"/>
          <w:rFonts w:hint="cs" w:cs="FrankRuehl"/>
          <w:szCs w:val="34"/>
          <w:rtl/>
        </w:rPr>
        <w:t xml:space="preserve">4.</w:t>
      </w:r>
      <w:r>
        <w:rPr>
          <w:lang w:bidi="he-IL"/>
          <w:rFonts w:hint="cs" w:cs="FrankRuehl"/>
          <w:szCs w:val="26"/>
          <w:rtl/>
        </w:rPr>
        <w:tab/>
        <w:t xml:space="preserve">במילוי תפקידו לפי סעיף 39 לחוק, קצין מעקב ידאג לשלומו הגופני והנפשי של הנמצא בטיפול, לשיקומו המקצועי ולקליטתו בחברה, בהתחשב בכישוריו של הנמצא בטיפולו.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הטיפול</w:t>
                </w:r>
              </w:p>
            </w:txbxContent>
          </v:textbox>
        </v:rect>
      </w:pict>
      <w:r>
        <w:rPr>
          <w:lang w:bidi="he-IL"/>
          <w:rFonts w:hint="cs" w:cs="FrankRuehl"/>
          <w:szCs w:val="34"/>
          <w:rtl/>
        </w:rPr>
        <w:t xml:space="preserve">5.</w:t>
      </w:r>
      <w:r>
        <w:rPr>
          <w:lang w:bidi="he-IL"/>
          <w:rFonts w:hint="cs" w:cs="FrankRuehl"/>
          <w:szCs w:val="26"/>
          <w:rtl/>
        </w:rPr>
        <w:tab/>
        <w:t xml:space="preserve">טיפולו של קצין מעקב יתחיל ששה חדשים לפני פקיעת הצו להחזקה במעון או במעון נעול, או מוקדם יותר לפי החלטת הממונה על המעונות.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תקופת הטיפול</w:t>
                </w:r>
              </w:p>
            </w:txbxContent>
          </v:textbox>
        </v:rect>
      </w:pict>
      <w:r>
        <w:rPr>
          <w:lang w:bidi="he-IL"/>
          <w:rFonts w:hint="cs" w:cs="FrankRuehl"/>
          <w:szCs w:val="34"/>
          <w:rtl/>
        </w:rPr>
        <w:t xml:space="preserve">6.</w:t>
      </w:r>
      <w:r>
        <w:rPr>
          <w:lang w:bidi="he-IL"/>
          <w:rFonts w:hint="cs" w:cs="FrankRuehl"/>
          <w:szCs w:val="26"/>
          <w:rtl/>
        </w:rPr>
        <w:tab/>
        <w:t xml:space="preserve">היה קצין מעקב בדעה שיש צורך בהארכת תקופת הטיפול מעל לשנה ממועד השחרור, יפנה בבקשה מנומקת לממונה על המעונות; הממונה על המעונות יודיע על החלטתו לקצין המעקב ולמי שנתון לטיפולו לא יאוחר משנה לאחר השחרור.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קצין המעקב המטפל</w:t>
                </w:r>
              </w:p>
            </w:txbxContent>
          </v:textbox>
        </v:rect>
      </w:pict>
      <w:r>
        <w:rPr>
          <w:lang w:bidi="he-IL"/>
          <w:rFonts w:hint="cs" w:cs="FrankRuehl"/>
          <w:szCs w:val="34"/>
          <w:rtl/>
        </w:rPr>
        <w:t xml:space="preserve">7.</w:t>
      </w:r>
      <w:r>
        <w:rPr>
          <w:lang w:bidi="he-IL"/>
          <w:rFonts w:hint="cs" w:cs="FrankRuehl"/>
          <w:szCs w:val="26"/>
          <w:rtl/>
        </w:rPr>
        <w:tab/>
        <w:t xml:space="preserve">קצין המעקב הראשי יקבע בהקדם את קצין המעקב שיטפל במוחזק במעון נעול לכשישוחרר.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התיקים האישיים</w:t>
                </w:r>
              </w:p>
            </w:txbxContent>
          </v:textbox>
        </v:rect>
      </w:pict>
      <w:r>
        <w:rPr>
          <w:lang w:bidi="he-IL"/>
          <w:rFonts w:hint="cs" w:cs="FrankRuehl"/>
          <w:szCs w:val="34"/>
          <w:rtl/>
        </w:rPr>
        <w:t xml:space="preserve">8.</w:t>
      </w:r>
      <w:r>
        <w:rPr>
          <w:lang w:bidi="he-IL"/>
          <w:rFonts w:hint="cs" w:cs="FrankRuehl"/>
          <w:szCs w:val="26"/>
          <w:rtl/>
        </w:rPr>
        <w:tab/>
        <w:t xml:space="preserve">קצין מעקב יפתח תיק לכל אחד מהנמצאים בטיפולו; למידע שבתיקים לא תהיה גישה אלא ברשות מרכז קציני מעקב במחוז.</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ידיעות</w:t>
                </w:r>
              </w:p>
            </w:txbxContent>
          </v:textbox>
        </v:rect>
      </w:pict>
      <w:r>
        <w:rPr>
          <w:lang w:bidi="he-IL"/>
          <w:rFonts w:hint="cs" w:cs="FrankRuehl"/>
          <w:szCs w:val="34"/>
          <w:rtl/>
        </w:rPr>
        <w:t xml:space="preserve">9.</w:t>
      </w:r>
      <w:r>
        <w:rPr>
          <w:lang w:bidi="he-IL"/>
          <w:rFonts w:hint="cs" w:cs="FrankRuehl"/>
          <w:szCs w:val="26"/>
          <w:rtl/>
        </w:rPr>
        <w:tab/>
        <w:t xml:space="preserve">הגיעה לאדם ידיעה תוך כדי ביצוע תקנות אלה, ישמור אותה בסוד ולא יגלנה לאחר, אלא במידה שיש צורך בכך לשם ביצוע כל חיקוק או במידה שקיבל אישור לכך מקצין מעקב ראשי.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10.</w:t>
      </w:r>
      <w:r>
        <w:rPr>
          <w:lang w:bidi="he-IL"/>
          <w:rFonts w:hint="cs" w:cs="FrankRuehl"/>
          <w:szCs w:val="26"/>
          <w:rtl/>
        </w:rPr>
        <w:tab/>
        <w:t xml:space="preserve">תקנות עבריינים צעירים (טיפול עוקב), תשכ"ד-1964 – בטלות.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ביום השלושים לאחר פרסומן.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12.</w:t>
      </w:r>
      <w:r>
        <w:rPr>
          <w:lang w:bidi="he-IL"/>
          <w:rFonts w:hint="cs" w:cs="FrankRuehl"/>
          <w:szCs w:val="26"/>
          <w:rtl/>
        </w:rPr>
        <w:tab/>
        <w:t xml:space="preserve">לתקנות אלה ייקרא "תקנות הנוער (שפיטה, ענישה ודרכי טיפול) (טיפול עוקב), תשל"ו-1976".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(שפיטה, ענישה ודרכי טיפול) (טיפול עוקב), תשל"ו-1976,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3dbdc38ab37410e" /><Relationship Type="http://schemas.openxmlformats.org/officeDocument/2006/relationships/header" Target="/word/header1.xml" Id="r97" /><Relationship Type="http://schemas.openxmlformats.org/officeDocument/2006/relationships/footer" Target="/word/footer1.xml" Id="r98" /></Relationships>
</file>