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8bdb28adae74b4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(שפיטה, ענישה ודרכי טיפול) (סדרי הגשת בקשות), תשל"ו-1975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תקנות סדר הדין הפלילי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לפי סעיף  20(ב)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לענין סעיף 26(1)</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לפי סעיף 30</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לפי סעיף 31(ב)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לפי סעיף 33</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לפי סעיף 41</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הנוער (שפיטה, ענישה ודרכי טיפול) (סדרי הגשת בקשות), תשל"ו-1975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44(ב) לחוק הנוער (שפיטה, ענישה ודרכי טיפול), תשל"א-1971 (להלן – החוק), וסעיף 46 לחוק בתי המשפט, תשי"ז-1957, ובתוקף שאר סמכויותי על 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תקנות סדר הדין הפלילי</w:t>
                </w:r>
              </w:p>
            </w:txbxContent>
          </v:textbox>
        </v:rect>
      </w:pict>
      <w:r>
        <w:rPr>
          <w:lang w:bidi="he-IL"/>
          <w:rFonts w:hint="cs" w:cs="FrankRuehl"/>
          <w:szCs w:val="34"/>
          <w:rtl/>
        </w:rPr>
        <w:t xml:space="preserve">1.</w:t>
      </w:r>
      <w:r>
        <w:rPr>
          <w:lang w:bidi="he-IL"/>
          <w:rFonts w:hint="cs" w:cs="FrankRuehl"/>
          <w:szCs w:val="26"/>
          <w:rtl/>
        </w:rPr>
        <w:tab/>
        <w:t xml:space="preserve">תקנות סדר הדין הפלילי, תשל"ד-1974, יחולו בשינויים המחוייבים בהליכים לפי החוק, זולת אם נקבע בחוק או בתקנות סדר דין שונה לענין הנדון.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בקשות על פי סעיפים 20(ב), 30, 31(ב), 33 ו-41 לחוק יוגשו לבית המשפט בחמישה עתקים.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ימציא עותק של הבקשה בצירוף הזמנה לדין, למשיבים וכן להורי הקטין, זולת אם קבע בית המשפט שאין להמציאם להורים.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לפי סעיף  20(ב)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לפי סעיף 20(ב) לחוק תהא ערוכה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המוגשת בידי קצין מבחן או הממונה על המעונות יהיו המשיבים הקטין ותובע כמשמעותו בסעיף 10 לחוק סדר הדין הפלילי, תשכ"ה-1965 (להלן – תובע); בבקשה המוגשת בידי קטין יהיו המשיבים התובע, קצין מבחן והממונה על המעונות.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לענין סעיף 26(1)</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צו לפי סעיף 26(1) לחוק יהא ערוך לפי טופס 4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בית המשפט על דרך טיפול לפי סעיף 26(1) והוצע אדם ראוי שלא מטעם קצין מבחן או הממונה על המעונות, רשאי בית המשפט לבקש חוות דעת קצין מבחן בדבר התאמתו של האדם הראוי.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לפי סעיף 30</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בקשה לפי סעיף 30 לחוק תהא ערוכה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יהיה קצין מבחן, אולם אם הצו שנתן הוא צו מעון או מינוי קצין מעקב כאדם ראוי – יהיה המבקש הממונה על המעונות; המשיבים בבקשה יהיו הקטין ותובע.</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לפי סעיף 31(ב)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לפי סעיף 31(ב) לחוק תהא ערוכה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המשיבים בבקשה יהיו הקטין ותובע והעתק מהבקשה יומצא לשירות המבחן לנוער.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לפי סעיף 33</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בקשה לפי סעיף 33 תהא ערוכה לפי טופס 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המשיבים בבקשה יהיו הקטין ותובע והעתק מהבקשה יומצא לשירות המבחן לנוער.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לפי סעיף 41</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בקשה לפי סעיף 41 תהא ערוכה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המשיבים בבקשה יהיו קצין המעקב ותובע – אם הבקשה היא של מי שנמצא בטיפול עוקב, ומי שנמצא בטיפול עוקב ותובע – אם הבקשה היא של קצין המעקב.</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ביום השלושים לאחר פרסומן.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10.</w:t>
      </w:r>
      <w:r>
        <w:rPr>
          <w:lang w:bidi="he-IL"/>
          <w:rFonts w:hint="cs" w:cs="FrankRuehl"/>
          <w:szCs w:val="26"/>
          <w:rtl/>
        </w:rPr>
        <w:tab/>
        <w:t xml:space="preserve">לתקנות אלה ייקרא "תקנות הנוער (שפיטה, ענישה ודרכי טיפול) (סדרי הגשת בקשות), תשל"ו-1975".</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1f3c5be91ec401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e3b509cb3d948c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f2dc811708541f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4acdb671bc7414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(שפיטה, ענישה ודרכי טיפול) (סדרי הגשת בקשות), תשל"ו-1975,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4a0f663ef4484b" /><Relationship Type="http://schemas.openxmlformats.org/officeDocument/2006/relationships/hyperlink" Target="https://www.nevo.co.il/laws/#/607eb90c8c9593c4c0ac8922/clause/607ec3228c9593c4c0ac89b2" TargetMode="External" Id="R41f3c5be91ec4011" /><Relationship Type="http://schemas.openxmlformats.org/officeDocument/2006/relationships/hyperlink" Target="https://www.nevo.co.il/laws/#/607eb90c8c9593c4c0ac8922/clause/607ec8fb8c9593c4c0ac89bf" TargetMode="External" Id="R5e3b509cb3d948c8" /><Relationship Type="http://schemas.openxmlformats.org/officeDocument/2006/relationships/hyperlink" Target="https://www.nevo.co.il/laws/#/607eb90c8c9593c4c0ac8922/clause/607ec9d48c9593c4c0ac89c3" TargetMode="External" Id="R7f2dc811708541f8" /><Relationship Type="http://schemas.openxmlformats.org/officeDocument/2006/relationships/hyperlink" Target="https://www.nevo.co.il/laws/#/607eb90c8c9593c4c0ac8922/clause/607ecc2a8c9593c4c0ac89c7" TargetMode="External" Id="R94acdb671bc74146" /><Relationship Type="http://schemas.openxmlformats.org/officeDocument/2006/relationships/header" Target="/word/header1.xml" Id="r97" /><Relationship Type="http://schemas.openxmlformats.org/officeDocument/2006/relationships/footer" Target="/word/footer1.xml" Id="r98" /></Relationships>
</file>