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4a2f84dab04b0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הנזיקין (אחריות עובדי ציבור),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ב':הודעה על הגשת תובענה נגד עובד ציבור</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הגשת תובענה נגד עובד ציבור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להמצאת ההודעה ודרכי המצאתה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ג':הודעת המדינה על הכרה במעשה העובד כמעשה שנעשה תוך כדי תפקידו השלטוני</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התנאים למסירת הודעה על הכרה במעשה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הודעת הכרה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למסירת הודעת הכרה ועריכתה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להגשת בקשות לפי סעיף 7ב לפקודה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ד':הגשת תובענה נגד עובד ציבור שהוא עובד רשות ציבורית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היועץ המשפטי של הרשות הציבורית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בקשה לפי סעיף 7ג לפקודה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ה':הגשת בקשה בענין התקיימות תנאי החסינות והחלטה בה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לפי סעיפים 7ב(ב), 7ב(ד) או 7ג(א)</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 בתובענה נגד עובד רשות ציבורית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 בתובענה נגד עובד המדינה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הנזיקין (אחריות עובדי ציבור),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7ב(ג) ו-(ד), 7ג(א) ו-7ה לפקודת הנזיקין [נוסח חדש] (להלן – הפקודה), וסעיף 108 לחוק בתי המשפט [נוסח משולב], התשמ"ד-1984, ובאישור ועדת חוקה חוק ומשפט של הכנסת אני מתקינה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"תקנות סדר הדין" – תקנות סדר הדין האזרחי, התשמ"ד-1984.</w:t>
      </w:r>
    </w:p>
    <w:p>
      <w:pPr>
        <w:bidi/>
        <w:spacing w:before="70" w:after="5" w:line="250" w:lineRule="auto"/>
        <w:jc w:val="center"/>
      </w:pPr>
      <w:defaultTabStop w:val="720"/>
      <w:r>
        <w:rPr>
          <w:lang w:bidi="he-IL"/>
          <w:rFonts w:hint="cs" w:cs="FrankRuehl"/>
          <w:szCs w:val="26"/>
          <w:b/>
          <w:bCs/>
          <w:rtl/>
        </w:rPr>
        <w:t xml:space="preserve">פרק ב':הודעה על הגשת תובענה נגד עובד ציבור</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הגשת תובענה נגד עובד ציבור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הוגשה תובענה נגד עובד ציבור שהוא עובד המדינה, כאמור בסעיף 7ב לפקודה, יודיע התובע על הגשתה למשרד פרקליט המחוז שבו נמצא מקום מושבו של בית המשפט הדן בתובענה או ליועץ המשפטי לכנסת, לפי הענין; העתק כתב התביעה יצורף להודעה.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תובענה נגד עובד ציבור שהוא עובד רשות ציבורית, כאמור בסעיף 7ג לפקודה, יודיע התובע על הגשתה ליועץ המשפטי של הרשות הציבורית; העתק כתב התביעה יצורף להודעה.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לפי תקנת משנה (א) או (ב) תהא ערוכה לפי טופס 1 שבתוספת.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להמצאת ההודעה ודרכי המצאתה</w:t>
                </w:r>
              </w:p>
            </w:txbxContent>
          </v:textbox>
        </v:rect>
      </w:pict>
      <w:r>
        <w:rPr>
          <w:lang w:bidi="he-IL"/>
          <w:rFonts w:hint="cs" w:cs="FrankRuehl"/>
          <w:szCs w:val="34"/>
          <w:rtl/>
        </w:rPr>
        <w:t xml:space="preserve">3.</w:t>
      </w:r>
      <w:r>
        <w:rPr>
          <w:lang w:bidi="he-IL"/>
          <w:rFonts w:hint="cs" w:cs="FrankRuehl"/>
          <w:szCs w:val="26"/>
          <w:rtl/>
        </w:rPr>
        <w:tab/>
        <w:t xml:space="preserve">הודעה כאמור בתקנה 2 תומצא למדינה או לרשות הציבורית, לפי הענין, באותו מועד שבו יומצא כתב התביעה לעובד הציבור; על המצאת ההודעה יחולו הוראות פרק ל"ב לתקנות סדר הדין, בשינויים המחויבים ובכפוף להוראות תקנות אלה.</w:t>
      </w:r>
    </w:p>
    <w:p>
      <w:pPr>
        <w:bidi/>
        <w:spacing w:before="70" w:after="5" w:line="250" w:lineRule="auto"/>
        <w:jc w:val="center"/>
      </w:pPr>
      <w:defaultTabStop w:val="720"/>
      <w:r>
        <w:rPr>
          <w:lang w:bidi="he-IL"/>
          <w:rFonts w:hint="cs" w:cs="FrankRuehl"/>
          <w:szCs w:val="26"/>
          <w:b/>
          <w:bCs/>
          <w:rtl/>
        </w:rPr>
        <w:t xml:space="preserve">פרק ג':הודעת המדינה על הכרה במעשה העובד כמעשה שנעשה תוך כדי תפקידו השלטוני</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התנאים למסירת הודעה על הכרה במעשה</w:t>
                </w:r>
              </w:p>
            </w:txbxContent>
          </v:textbox>
        </v:rect>
      </w:pict>
      <w:r>
        <w:rPr>
          <w:lang w:bidi="he-IL"/>
          <w:rFonts w:hint="cs" w:cs="FrankRuehl"/>
          <w:szCs w:val="34"/>
          <w:rtl/>
        </w:rPr>
        <w:t xml:space="preserve">4.</w:t>
      </w:r>
      <w:r>
        <w:rPr>
          <w:lang w:bidi="he-IL"/>
          <w:rFonts w:hint="cs" w:cs="FrankRuehl"/>
          <w:szCs w:val="26"/>
          <w:rtl/>
        </w:rPr>
        <w:tab/>
        <w:t xml:space="preserve">המדינה תמסור הודעה לבית המשפט, לגבי עובד ציבור שהוא עובד מדינה, כי היא מכירה בכך שמעשה העובד נעשה תוך כדי מילוי תפקידו השלטוני, כאמור בסעיף 7ב(א) לפקודה (להלן – הודעת הכרה),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המעשה נעשה תוך כדי תפקידו השלטוני של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המעשה לא נעשה ביודעין מתוך כוונה לגרום נזק או בשוויון נפש לאפשרות גרימתו במעשה כאמור.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הודעת הכרה</w:t>
                </w:r>
              </w:p>
            </w:txbxContent>
          </v:textbox>
        </v:rect>
      </w:pict>
      <w:r>
        <w:rPr>
          <w:lang w:bidi="he-IL"/>
          <w:rFonts w:hint="cs" w:cs="FrankRuehl"/>
          <w:szCs w:val="34"/>
          <w:rtl/>
        </w:rPr>
        <w:t xml:space="preserve">5.</w:t>
      </w:r>
      <w:r>
        <w:rPr>
          <w:lang w:bidi="he-IL"/>
          <w:rFonts w:hint="cs" w:cs="FrankRuehl"/>
          <w:szCs w:val="26"/>
          <w:rtl/>
        </w:rPr>
        <w:tab/>
        <w:t xml:space="preserve">הודעת הכרה לגבי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המדינה – תימסר על ידי היועץ המשפטי לממשלה או מי שהוא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עובד המדינה שהוא עובד הכנסת – תימסר על ידי היועץ המשפטי לכנסת.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למסירת הודעת הכרה ועריכתה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היתה המדינה צד לתובענה – תוגש הודעת ההכרה לבית המשפט יחד עם כתב ההגנה מטעם המדינה והעתק ממנה יומצא לבעלי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היתה המדינה צד לתובענה – תוגש הודעת ההכרה לבית המשפט בתוך התקופה הקבועה בתקנות סדר הדין להגשת כתב הגנה והעתק ממנה יומצא לבעלי הדין; כתב הגנה מטעם המדינה יוגש בתוך 30 ימים מיום שהורה בית המשפט על צירוף המדינה כצד לתובענה לפי הוראות סעיף 7ב(א)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הכרה תהיה ערוכה לפי טופס 2 שבתוספת; אישור היועץ המשפטי לממשלה או היועץ המשפטי לכנסת, לפי הענין, יצורף להודעה.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להגשת בקשות לפי סעיף 7ב לפקודה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בקשת תובע לפי סעיף 7ב(ג) לפקודה, כי בית המשפט יקבע שלא מתקיימים תנאי החסינות לפי סעיף 7א לפקודה, תוגש לבית המשפט בתוך 14 ימים מן היום שבו הומצאה לו בקשת המדינה לפי סעיף 7ב(ב) לפקודה לדחות את התובענה נגד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עובד המדינה לפי סעיף 7ב(ד) לפקודה, כי בית המשפט יקבע שמתקיימת החסינות לפי סעיף 7א לפקודה, תוגש לבית המשפט בתוך 14 ימים מן היום האחרון להגשת הודעת הכרה כאמור בתקנה 6.</w:t>
      </w:r>
    </w:p>
    <w:p>
      <w:pPr>
        <w:bidi/>
        <w:spacing w:before="70" w:after="5" w:line="250" w:lineRule="auto"/>
        <w:jc w:val="center"/>
      </w:pPr>
      <w:defaultTabStop w:val="720"/>
      <w:r>
        <w:rPr>
          <w:lang w:bidi="he-IL"/>
          <w:rFonts w:hint="cs" w:cs="FrankRuehl"/>
          <w:szCs w:val="26"/>
          <w:b/>
          <w:bCs/>
          <w:rtl/>
        </w:rPr>
        <w:t xml:space="preserve">פרק ד':הגשת תובענה נגד עובד ציבור שהוא עובד רשות ציבורית</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היועץ המשפטי של הרשות הציבורית</w:t>
                </w:r>
              </w:p>
            </w:txbxContent>
          </v:textbox>
        </v:rect>
      </w:pict>
      <w:r>
        <w:rPr>
          <w:lang w:bidi="he-IL"/>
          <w:rFonts w:hint="cs" w:cs="FrankRuehl"/>
          <w:szCs w:val="34"/>
          <w:rtl/>
        </w:rPr>
        <w:t xml:space="preserve">8.</w:t>
      </w:r>
      <w:r>
        <w:rPr>
          <w:lang w:bidi="he-IL"/>
          <w:rFonts w:hint="cs" w:cs="FrankRuehl"/>
          <w:szCs w:val="26"/>
          <w:rtl/>
        </w:rPr>
        <w:tab/>
        <w:t xml:space="preserve">בקשת רשות ציבורית לפי סעיף 7ג(א) לפקודה, כי בית המשפט יקבע שמתקיימים תנאי החסינות לפי סעיף 7א לפקודה, תוגש לבית המשפט לאחר קבלת אישורו של היועץ המשפטי של הרשות הציבורית; אישור היועץ המשפטי יצורף לבקשה.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בקשה לפי סעיף 7ג לפקודה</w:t>
                </w:r>
              </w:p>
            </w:txbxContent>
          </v:textbox>
        </v:rect>
      </w:pict>
      <w:r>
        <w:rPr>
          <w:lang w:bidi="he-IL"/>
          <w:rFonts w:hint="cs" w:cs="FrankRuehl"/>
          <w:szCs w:val="34"/>
          <w:rtl/>
        </w:rPr>
        <w:t xml:space="preserve">9.</w:t>
      </w:r>
      <w:r>
        <w:rPr>
          <w:lang w:bidi="he-IL"/>
          <w:rFonts w:hint="cs" w:cs="FrankRuehl"/>
          <w:szCs w:val="26"/>
          <w:rtl/>
        </w:rPr>
        <w:tab/>
        <w:t xml:space="preserve">בקשת רשות ציבורית או עובד רשות ציבורית לפי סעיף 7ג(א) לפקודה, כי בית המשפט יקבע שמתקיימים תנאי החסינות לפי סעיף 7א לפקודה, תוגש לבית המשפט בתוך 30 ימים מהיום שבו הומצא כתב התביעה לרשות הציבורית או לעובד הרשות הציבורית, לפי הענין; העתק הבקשה יומצא לבעלי הדין.</w:t>
      </w:r>
    </w:p>
    <w:p>
      <w:pPr>
        <w:bidi/>
        <w:spacing w:before="70" w:after="5" w:line="250" w:lineRule="auto"/>
        <w:jc w:val="center"/>
      </w:pPr>
      <w:defaultTabStop w:val="720"/>
      <w:r>
        <w:rPr>
          <w:lang w:bidi="he-IL"/>
          <w:rFonts w:hint="cs" w:cs="FrankRuehl"/>
          <w:szCs w:val="26"/>
          <w:b/>
          <w:bCs/>
          <w:rtl/>
        </w:rPr>
        <w:t xml:space="preserve">פרק ה':הגשת בקשה בענין התקיימות תנאי החסינות והחלטה בה</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לפי סעיפים 7ב(ב), 7ב(ד) או 7ג(א)</w:t>
                </w:r>
              </w:p>
            </w:txbxContent>
          </v:textbox>
        </v:rect>
      </w:pict>
      <w:r>
        <w:rPr>
          <w:lang w:bidi="he-IL"/>
          <w:rFonts w:hint="cs" w:cs="FrankRuehl"/>
          <w:szCs w:val="34"/>
          <w:rtl/>
        </w:rPr>
        <w:t xml:space="preserve">10.</w:t>
      </w:r>
      <w:r>
        <w:rPr>
          <w:lang w:bidi="he-IL"/>
          <w:rFonts w:hint="cs" w:cs="FrankRuehl"/>
          <w:szCs w:val="26"/>
          <w:rtl/>
        </w:rPr>
        <w:tab/>
        <w:t xml:space="preserve">על הגשת בקשה לפי סעיפים 7ב(ג) או (ד) או 7ג(א) לפקודה יחולו הוראות סימן א' לפרק כ' בתקנות סדר הדין, בשינויים המחויבים ובכפוף להוראות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במועד שנקבע לדיון יתייצבו המצהירים לחקירה על תצהיריהם,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הדיון בבקשה יסתיים בתוך יום אחד; ראה בית המשפט כי יש צורך בכך, רשאי הוא לקבוע ימי דיונים נוספים, ברציפות ככל האפשר, עד גמר חקירת העדים.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הדין רשאים להגיש לבית המשפט, עד שבעה ימים לפני המועד שנקבע לדיון, רשימת אסמכתאות משפטיות ועיקרי טיעון בכתב; סיכום טענות בעלי הדין יהיה בעל פה ביום הדיון בבקשה לאחר סיום הבאת הראיות.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ייתן החלטה בבקשה לכל המאוחר בתוך 14 ימים, לכל המאוחר, מתום הדיון בבקשה, ולפני מתן כל החלטה אחרת בתובענה.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 בתובענה נגד עובד רשות ציבורית</w:t>
                </w:r>
              </w:p>
            </w:txbxContent>
          </v:textbox>
        </v:rect>
      </w:pict>
      <w:r>
        <w:rPr>
          <w:lang w:bidi="he-IL"/>
          <w:rFonts w:hint="cs" w:cs="FrankRuehl"/>
          <w:szCs w:val="34"/>
          <w:rtl/>
        </w:rPr>
        <w:t xml:space="preserve">12.</w:t>
      </w:r>
      <w:r>
        <w:rPr>
          <w:lang w:bidi="he-IL"/>
          <w:rFonts w:hint="cs" w:cs="FrankRuehl"/>
          <w:szCs w:val="26"/>
          <w:rtl/>
        </w:rPr>
        <w:tab/>
        <w:t xml:space="preserve">החליט בית המשפט, לבקשת רשות ציבורית או עובד הרשות לפי סעיף 7ג(א) לפקודה, כי מתקיימים תנאי החסינות לפי סעיף 7א לפקודה, תגיש הרשות הציבורית כתב הגנה בתוך 30 ימים מהיום שבו ניתנה החלטת בית המשפט, אם לא הגישה קודם לכן; החליט בית המשפט כי לא מתקיימים תנאי החסינות, יגיש העובד כתב הגנה בתוך 30 ימים מהיום שבו ניתנה החלטת בית המשפט.</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 בתובענה נגד עובד המדינה</w:t>
                </w:r>
              </w:p>
            </w:txbxContent>
          </v:textbox>
        </v:rect>
      </w:pict>
      <w:r>
        <w:rPr>
          <w:lang w:bidi="he-IL"/>
          <w:rFonts w:hint="cs" w:cs="FrankRuehl"/>
          <w:szCs w:val="34"/>
          <w:rtl/>
        </w:rPr>
        <w:t xml:space="preserve">13.</w:t>
      </w:r>
      <w:r>
        <w:rPr>
          <w:lang w:bidi="he-IL"/>
          <w:rFonts w:hint="cs" w:cs="FrankRuehl"/>
          <w:szCs w:val="26"/>
          <w:rtl/>
        </w:rPr>
        <w:tab/>
        <w:t xml:space="preserve">לא הגישה המדינה הודעת הכרה, והחליט בית המשפט, לבקשת עובד המדינה לפי סעיף 7ב(ד) לפקודה, כי מתקיימים תנאי החסינות לפי סעיף 7א לפקודה, תגיש המדינה כתב הגנה בתוך 30 ימים מהיום שבו ניתנה החלטת בית המשפט, אם לא הגישה קודם לכן; הגישה המדינה הודעת הכרה, והחליט בית המשפט, לבקשת תובע לפי סעיף 7ב(ג) לפקודה, כי לא מתקיימים תנאי החסינות לפי סעיף 7א לפקודה, יגיש עובד המדינה כתב הגנה בתוך 30 ימים מהיום שבו ניתנה החלטת בית המשפט.</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14.</w:t>
      </w:r>
      <w:r>
        <w:rPr>
          <w:lang w:bidi="he-IL"/>
          <w:rFonts w:hint="cs" w:cs="FrankRuehl"/>
          <w:szCs w:val="26"/>
          <w:rtl/>
        </w:rPr>
        <w:tab/>
        <w:t xml:space="preserve">המועד להגשת ערעור או בקשת רשות לערער לפי הענין, על החלטה של בית המשפט בבקשות לפי סעיפים 7ב(ג) או (ד), ו-7ג(א) לפקודה, הוא 30 ימים מיום מתן ההחלטה.</w:t>
      </w:r>
    </w:p>
    <w:p>
      <w:pPr>
        <w:bidi/>
        <w:spacing w:before="70" w:after="5" w:line="250" w:lineRule="auto"/>
        <w:jc w:val="center"/>
      </w:pPr>
      <w:defaultTabStop w:val="720"/>
      <w:r>
        <w:rPr>
          <w:lang w:bidi="he-IL"/>
          <w:rFonts w:hint="cs" w:cs="FrankRuehl"/>
          <w:szCs w:val="26"/>
          <w:b/>
          <w:bCs/>
          <w:rtl/>
        </w:rPr>
        <w:t xml:space="preserve">פרק ו':שונות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w:t>
                </w:r>
              </w:p>
            </w:txbxContent>
          </v:textbox>
        </v:rect>
      </w:pict>
      <w:r>
        <w:rPr>
          <w:lang w:bidi="he-IL"/>
          <w:rFonts w:hint="cs" w:cs="FrankRuehl"/>
          <w:szCs w:val="34"/>
          <w:rtl/>
        </w:rPr>
        <w:t xml:space="preserve">15.</w:t>
      </w:r>
      <w:r>
        <w:rPr>
          <w:lang w:bidi="he-IL"/>
          <w:rFonts w:hint="cs" w:cs="FrankRuehl"/>
          <w:szCs w:val="26"/>
          <w:rtl/>
        </w:rPr>
        <w:tab/>
        <w:t xml:space="preserve">בעל ענין שבסדר דין שאין לגביו הוראה בתקנות אלה, ינהג בית המשפט על פי הוראות תקנות סדר הדין.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ביום י"ב בשבט התשס"ו (10 בפברואר 2006).</w:t>
      </w:r>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2(ג))
</w:t>
      </w:r>
      <w:hyperlink xmlns:r="http://schemas.openxmlformats.org/officeDocument/2006/relationships" w:history="true" r:id="R367985d1cb184f27">
        <w:r>
          <w:rPr>
            <w:rStyle w:val="Hyperlink"/>
            <w:u w:val="single"/>
            <w:color w:themeColor="hyperlink"/>
          </w:rPr>
          <w:t>הודעה על הגשת תובענה נגד עובד ציבור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6(ג))
</w:t>
      </w:r>
      <w:hyperlink xmlns:r="http://schemas.openxmlformats.org/officeDocument/2006/relationships" w:history="true" r:id="Rfe1a9ea3e2ed45c8">
        <w:r>
          <w:rPr>
            <w:rStyle w:val="Hyperlink"/>
            <w:u w:val="single"/>
            <w:color w:themeColor="hyperlink"/>
          </w:rPr>
          <w:t>הודעה על קיומה של חסינות לפי סעיף 7א לפקודת הנזיקין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הנזיקין (אחריות עובדי ציבור),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0c46141b5674a01" /><Relationship Type="http://schemas.openxmlformats.org/officeDocument/2006/relationships/hyperlink" Target="https://www.nevo.co.il/lawattachments/6034f151315508eb66486de8/665b96c7-7392-40aa-b4bd-9396804702cc.doc" TargetMode="External" Id="R367985d1cb184f27" /><Relationship Type="http://schemas.openxmlformats.org/officeDocument/2006/relationships/hyperlink" Target="https://www.nevo.co.il/lawattachments/6034f151315508eb66486de8/a258b020-be2f-44d1-8f1f-b2234e5a9424.doc" TargetMode="External" Id="Rfe1a9ea3e2ed45c8" /><Relationship Type="http://schemas.openxmlformats.org/officeDocument/2006/relationships/header" Target="/word/header1.xml" Id="r97" /><Relationship Type="http://schemas.openxmlformats.org/officeDocument/2006/relationships/footer" Target="/word/footer1.xml" Id="r98" /></Relationships>
</file>