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983a569b77492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העיצובים (יישום הסכם האג), תש"ף-2019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העיצובים על עיצוב בין-לאומי רשום המייעד את ישראל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עיצוב מוסף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דין קדימה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מתן תוקף כאשר לא נמסרה הודעת סירוב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סירוב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הענקת הגנה לעיצוב בישראל, לאחר סירוב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בקשה לביטול רישום של עיצוב בפנקס</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מען למסירת מסמכים בישראל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החלטה סופית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לשינוי בעיצוב בין-לאומי רשום המייעד את ישראל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תוקפם בישראל של תיקונים במרשם  הבין-לאומי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אגרת חידוש</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העיצובים (יישום הסכם האג), תש"ף-2019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83(ב), 85(ב)(1), 86(2), 87(א) ו-112 לחוק העיצובים, התשע"ז-2017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"דין קדימה" – כמשמעותו בסעיף 21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על סירוב" – הודעה של הגורם המוסמך לפי סעיף 12 להסכם;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בין-לאומי רשום רב-עיצובי" – עיצוב בין-לאומי רשום המייעד את ישראל הכולל יותר מעיצוב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מוסף" – כהגדרתו בסימן 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עיקרי" – כמשמעותו בסעיף 52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העיצובים על עיצוב בין-לאומי רשום המייעד את ישראל</w:t>
                </w:r>
              </w:p>
            </w:txbxContent>
          </v:textbox>
        </v:rect>
      </w:pict>
      <w:r>
        <w:rPr>
          <w:lang w:bidi="he-IL"/>
          <w:rFonts w:hint="cs" w:cs="FrankRuehl"/>
          <w:szCs w:val="34"/>
          <w:rtl/>
        </w:rPr>
        <w:t xml:space="preserve">2.</w:t>
      </w:r>
      <w:r>
        <w:rPr>
          <w:lang w:bidi="he-IL"/>
          <w:rFonts w:hint="cs" w:cs="FrankRuehl"/>
          <w:szCs w:val="26"/>
          <w:rtl/>
        </w:rPr>
        <w:tab/>
        <w:t xml:space="preserve">קיבל הרשם הודעה מהמשרד הבין-לאומי בדבר עיצוב בין-לאומי רשום המייעד את ישראל, יחולו לגבי אותו עיצוב הוראות תקנות העיצובים, התשע"ט-2019 (להלן – תקנות העיצובים), בשינויים המחויבים ובשינויים אלה: תקנות 10, 13, 17, 20 עד 24, 27, 41 עד 44, ו-75 עד 77 לא יחולו.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עיצוב מוסף</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לפי סעיף 85(ב)(2) לחוק תוגש בתוך שלושה חודשים מיום שנמסרה הודעת הסירוב.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ברישה של סעיף 85(ב)(1) לחוק ובתקנת משנה (א), מצא הגורם המוסמך כי עיצוב בין-לאומי רשום המייעד את ישראל עשוי להיות כשיר לרישום כעיצוב מוסף ביחס לעיצוב עיקרי שהוא עיצוב בין-לאומי רשום המייעד את ישראל, ושניהם כלולים באותה בקשה בין-לאומית, לא יסרב לרישום העיצובים מנימוק זה, ויראו את העיצוב הבין-לאומי המייעד את ישראל הכשיר לרישום כעיצוב מוסף כבקשה לרישום עיצוב מוסף לפי האמור בסעיף 55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דין קדימה</w:t>
                </w:r>
              </w:p>
            </w:txbxContent>
          </v:textbox>
        </v:rect>
      </w:pict>
      <w:r>
        <w:rPr>
          <w:lang w:bidi="he-IL"/>
          <w:rFonts w:hint="cs" w:cs="FrankRuehl"/>
          <w:szCs w:val="34"/>
          <w:rtl/>
        </w:rPr>
        <w:t xml:space="preserve">4.</w:t>
      </w:r>
      <w:r>
        <w:rPr>
          <w:lang w:bidi="he-IL"/>
          <w:rFonts w:hint="cs" w:cs="FrankRuehl"/>
          <w:szCs w:val="26"/>
          <w:rtl/>
        </w:rPr>
        <w:tab/>
        <w:t xml:space="preserve">כללה בקשה בין-לאומית הצהרה בדבר דרישת הכרה בדין קדימה לפי סעיף 83(ב) לחוק, ובתקופה שבין הגשת הבקשה במדינה חברה אחרת (בתקנה זו – הבקשה הקודמת) לבין הגשת הבקשה הבין-לאומית פורסם עיצוב זהה לעיצוב מושא הבקשה הבין-לאומית או נבדל ממנו רק בפרטים שאינם מהותיים, ידרוש הגורם המוסמך כי המבקש יגיש לרשות העתק מהבקשה הקודמת באחת הדרכים הקבועות בתקנה 17(ד) לתקנות העיצובים, לא יאוחר מחודשיים מיום שליחת הדרישה להגשת העתק הבקשה הקודמת על ידי הגורם המוסמך.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מתן תוקף כאשר לא נמסרה הודעת סירוב</w:t>
                </w:r>
              </w:p>
            </w:txbxContent>
          </v:textbox>
        </v:rect>
      </w:pict>
      <w:r>
        <w:rPr>
          <w:lang w:bidi="he-IL"/>
          <w:rFonts w:hint="cs" w:cs="FrankRuehl"/>
          <w:szCs w:val="34"/>
          <w:rtl/>
        </w:rPr>
        <w:t xml:space="preserve">5.</w:t>
      </w:r>
      <w:r>
        <w:rPr>
          <w:lang w:bidi="he-IL"/>
          <w:rFonts w:hint="cs" w:cs="FrankRuehl"/>
          <w:szCs w:val="26"/>
          <w:rtl/>
        </w:rPr>
        <w:tab/>
        <w:t xml:space="preserve">נמצא עיצוב בין-לאומי רשום המייעד את ישראל כשיר לרישום בפנקס, ימסור הגורם המוסמך הודעה על הענקת הגנה לעיצוב בישראל לפי סעיף 84 לחוק; הגורם המוסמך יכלול בהודעה, בין השאר, את הפרטים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העיצוב הבין-לאומי הרשום;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הודעת מתן התוקף אינה נוגעת לכל העיצובים אשר נכללו בבקשה הבין-לאומית, יציין הגורם המוסמך לאילו מן העיצובים הכלולים בעיצוב הבין-לאומי הרשום הרב-עיצובי מתייחסת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מועד תחילת תוקף ההגנה;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תאריך מתן ההודעה.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סירוב</w:t>
                </w:r>
              </w:p>
            </w:txbxContent>
          </v:textbox>
        </v:rect>
      </w:pict>
      <w:r>
        <w:rPr>
          <w:lang w:bidi="he-IL"/>
          <w:rFonts w:hint="cs" w:cs="FrankRuehl"/>
          <w:szCs w:val="34"/>
          <w:rtl/>
        </w:rPr>
        <w:t xml:space="preserve">6.</w:t>
      </w:r>
      <w:r>
        <w:rPr>
          <w:lang w:bidi="he-IL"/>
          <w:rFonts w:hint="cs" w:cs="FrankRuehl"/>
          <w:szCs w:val="26"/>
          <w:rtl/>
        </w:rPr>
        <w:tab/>
        <w:t xml:space="preserve">מסר הגורם המוסמך הודעה על סירוב רישום עיצוב בין-לאומי המייעד את ישראל לפי סעיף 85 לחוק, יכלול בהודעה, בין השאר, את הפרטים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העיצוב הבין-לאומי הרשום;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הנימוקים שבשלהם הוחלט כי העיצוב אינו כשיר לרישום, בצירוף הפניה להוראות החוק הנוגעות לעניין;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מתייחסים הנימוקים שעליהם מתבססת החלטת הסירוב לדמיון לעיצוב רשום או לבקשה לרישום עיצוב התלויה ועומדת (בתקנה זו – עיצוב מוקדם), יציין הגורם המוסמך את תאריך ההגשה ומספר הבקשה של העיצוב המוקדם, את תאריך הרישום והמספר של העיצוב המוקדם, אם ישנו, את שמו ומענו של בעל העיצוב המוקדם ואת תאריך דין הקדימה, אם ישנו, וכן יצרף עותק של התיאור החזותי שהוגש לפי תקנה 14 לתקנות העיצובים של העיצוב המוקדם, ככל שאותו תיאור חזותי נגיש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הודעת הסירוב אינה נוגעת לכל העיצובים אשר נכללו בבקשה הבין-לאומית, יציין הגורם המוסמך לאילו מן העיצובים הכלולים בעיצוב הבין-לאומי הרשום הרב-עיצובי מתייחסת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פרק הזמן שניתן להגיש בו תשובה לפי תקנה 30 לתקנות העיצובים, וכן יצוין כי אם בעל העיצוב הבין-לאומי הרשום רוצה להשיב על הודעת הסירוב עליו למסור מען בישראל לפי תקנה 9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תאריך מתן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נשלחה הודעה כאמור בעניין עיצוב בין-לאומי המייעד את ישראל לפי סעיף 85(ב)(1) לחוק, יציין הגורם המוסמך כי בקשה לפי סעיף 85(ב)(2) לחוק תוגש בתוך שלושה חודשים ממועד מסירת הודעת הסירוב.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הענקת הגנה לעיצוב בישראל, לאחר סירוב</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מסר הגורם המוסמך הודעה על הענקת הגנה לעיצוב בישראל לאחר סירוב לרישום עיצוב בין-לאומי המייעד את ישראל לפי סעיף 85(ד) לחוק, יכלול בהודעה, בין השאר, את הפרטים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העיצוב הבין-לאומי הרשום;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הודעת הסירוב אינה נוגעת לכל העיצובים אשר נכללו בבקשה הבין-לאומית, יציין הגורם המוסמך לאילו מן העיצובים הכלולים בעיצוב הבין-לאומי הרשום הרב-עיצובי מתייחסת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הרישום במשרד הבין-לאומי;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הרישום בפנקס;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תאריך מתן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שבו העיצוב תוקן בהליך בפני הגורם המוסמך, יצוינו בהודעה התיקונים שנערכו.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בקשה לביטול רישום של עיצוב בפנקס</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בלי לגרוע מהאמור בתקנה 9 לתקנות העיצובים, הוגשה לרשם בקשה לביטול רישום של עיצוב בפנקס שמקורו בעיצוב בין-לאומי רשום המייעד את ישראל, ימסור הגורם המוסמך לבעל העיצוב הודעה באנגלית על דבר הגשת הבקשה ויכלול בהודעתו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העיצוב הבין-לאומי הרשום;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 ומענו של מבקש הביטול לפי תקנה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המועד האחרון להגשת תשובה לבקשה לפי פרק א' לחלק החמישי בתקנות העיצובים.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בתקנת משנה (א) תימסר לכתובת הדואר האלקטרוני של בעל העיצוב אם כתובת כאמור כלולה במידע המצוי בידי המשרד הבין-לאומי.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מען למסירת מסמכים בישראל</w:t>
                </w:r>
              </w:p>
            </w:txbxContent>
          </v:textbox>
        </v:rect>
      </w:pict>
      <w:r>
        <w:rPr>
          <w:lang w:bidi="he-IL"/>
          <w:rFonts w:hint="cs" w:cs="FrankRuehl"/>
          <w:szCs w:val="34"/>
          <w:rtl/>
        </w:rPr>
        <w:t xml:space="preserve">9.</w:t>
      </w:r>
      <w:r>
        <w:rPr>
          <w:lang w:bidi="he-IL"/>
          <w:rFonts w:hint="cs" w:cs="FrankRuehl"/>
          <w:szCs w:val="26"/>
          <w:rtl/>
        </w:rPr>
        <w:tab/>
        <w:t xml:space="preserve">בתשובה להודעה על סירוב או בתשובה להודעה על הגשת בקשה לביטול רישום, יודיע בעל העיצוב הבין-לאומי הרשום לגורם המוסמך, במסמך הערוך בשפה רשמית, על מען למסירת מסמכים בישראל כאמור בתקנה 10 לתקנות העיצובים, והוא רשאי להודיע באותו מסמך על מינוי מיופה כוח כאמור בתקנה 11 לתקנות העיצובים; על כל שינוי מען ומינוי מיופה כוח יחולו תקנות 11 ו-12 לתקנות העיצובים.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החלטה סופית</w:t>
                </w:r>
              </w:p>
            </w:txbxContent>
          </v:textbox>
        </v:rect>
      </w:pict>
      <w:r>
        <w:rPr>
          <w:lang w:bidi="he-IL"/>
          <w:rFonts w:hint="cs" w:cs="FrankRuehl"/>
          <w:szCs w:val="34"/>
          <w:rtl/>
        </w:rPr>
        <w:t xml:space="preserve">10.</w:t>
      </w:r>
      <w:r>
        <w:rPr>
          <w:lang w:bidi="he-IL"/>
          <w:rFonts w:hint="cs" w:cs="FrankRuehl"/>
          <w:szCs w:val="26"/>
          <w:rtl/>
        </w:rPr>
        <w:tab/>
        <w:t xml:space="preserve">הודיע הגורם המוסמך למשרד הבין-לאומי על החלטה כי עיצוב בין-לאומי המייעד את ישראל אינו כשיר להגנה כעיצוב רשום, והיתה ההחלטה סופית שלא ניתן לערער עליה, יודיע הגורם המוסמך למשרד הבין-לאומי על ההחלטה הסופית ויכלול בהודעה זו, בין השאר,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העובדה שלא ניתן לערער על 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העיצוב הבין-לאומי הרשום;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ההחלטה אינה נוגעת לכל העיצובים אשר נכללו בבקשה הבין-לאומית, יציין הגורם המוסמך לאילו מן העיצובים הכלולים בעיצוב הבין-לאומי הרשום הרב-עיצובי מתייחסת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תאריך ההחלטה הסופית ותאריך תחילתה, ככל שישנו;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נתן את ההחלטה הסופית בית משפט או הרשם.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לשינוי בעיצוב בין-לאומי רשום המייעד את ישראל</w:t>
                </w:r>
              </w:p>
            </w:txbxContent>
          </v:textbox>
        </v:rect>
      </w:pict>
      <w:r>
        <w:rPr>
          <w:lang w:bidi="he-IL"/>
          <w:rFonts w:hint="cs" w:cs="FrankRuehl"/>
          <w:szCs w:val="34"/>
          <w:rtl/>
        </w:rPr>
        <w:t xml:space="preserve">11.</w:t>
      </w:r>
      <w:r>
        <w:rPr>
          <w:lang w:bidi="he-IL"/>
          <w:rFonts w:hint="cs" w:cs="FrankRuehl"/>
          <w:szCs w:val="26"/>
          <w:rtl/>
        </w:rPr>
        <w:tab/>
        <w:t xml:space="preserve">בעל עיצוב בין-לאומי רשום המייעד את ישראל המבקש לבצע שינויים ברישום בפנקס, יגיש למשרד הבין-לאומי בקשה לשינוי.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תוקפם בישראל של תיקונים במרשם  הבין-לאומי</w:t>
                </w:r>
              </w:p>
            </w:txbxContent>
          </v:textbox>
        </v:rect>
      </w:pict>
      <w:r>
        <w:rPr>
          <w:lang w:bidi="he-IL"/>
          <w:rFonts w:hint="cs" w:cs="FrankRuehl"/>
          <w:szCs w:val="34"/>
          <w:rtl/>
        </w:rPr>
        <w:t xml:space="preserve">12.</w:t>
      </w:r>
      <w:r>
        <w:rPr>
          <w:lang w:bidi="he-IL"/>
          <w:rFonts w:hint="cs" w:cs="FrankRuehl"/>
          <w:szCs w:val="26"/>
          <w:rtl/>
        </w:rPr>
        <w:tab/>
        <w:t xml:space="preserve">הודיע המשרד הבין-לאומי לגורם המוסמך על אחד או יותר מהתיקונים המנויים להלן שבוצע בעיצוב בין-לאומי רשום המייעד את ישראל, ירשום הגורם המוסמך את השינוי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או מענו של בעל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חזרה מבקשה לרישום עיצוב, מחיקה או ביטול של רישום של עיצוב בין-לאומי המייעד את ישראל הרשום בפנקס.</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אגרת חידוש</w:t>
                </w:r>
              </w:p>
            </w:txbxContent>
          </v:textbox>
        </v:rect>
      </w:pict>
      <w:r>
        <w:rPr>
          <w:lang w:bidi="he-IL"/>
          <w:rFonts w:hint="cs" w:cs="FrankRuehl"/>
          <w:szCs w:val="34"/>
          <w:rtl/>
        </w:rPr>
        <w:t xml:space="preserve">13.</w:t>
      </w:r>
      <w:r>
        <w:rPr>
          <w:lang w:bidi="he-IL"/>
          <w:rFonts w:hint="cs" w:cs="FrankRuehl"/>
          <w:szCs w:val="26"/>
          <w:rtl/>
        </w:rPr>
        <w:tab/>
        <w:t xml:space="preserve">לא שולמה אגרת חידוש בדרך ובמועד שנקבעו בהסכם ובתקנות האג, יירשם בפנקס כי תוקף העיצוב הבין-לאומי המייעד את ישראל פקע.</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אלה שלושה חודשים מיום הצטרפותה של מדינת ישראל כצד להסכם האג.</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העיצובים (יישום הסכם האג), תש"ף-2019,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90e7d2d5d384b69" /><Relationship Type="http://schemas.openxmlformats.org/officeDocument/2006/relationships/header" Target="/word/header1.xml" Id="r97" /><Relationship Type="http://schemas.openxmlformats.org/officeDocument/2006/relationships/footer" Target="/word/footer1.xml" Id="r98" /></Relationships>
</file>