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8822e75d9c4cc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העסקת עובדים על ידי קבלני כוח אדם (בקשה לרשיון),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 לרשיון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התקנות על קבלן שירות</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העסקת עובדים על ידי קבלני כוח אדם (בקשה לרשיון),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2(ד) ו-25 לחוק העסקת עובדים על ידי קבלני כוח אדם, התשנ"ו-1996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לפי סעיף 2 לחוק, לעיסוק כקבלן כוח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"ערובה" – כמשמעותה בתקנות העסקת עובדים על ידי קבלן כוח אדם (ערובה),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לרבות מי שהוא הסמיכו לענין מתן רשיון לקבלן כוח אדם.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לרשיון תוגש לשר, בכתב, בשני עותקים, לפי טופס שניתן להשיגו במשרד העבודה והרווחה, ובצירוף תצהיר לאימות העובדות שעליהן מתבססת הבקשה לרשיון.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לרשיון תכלול, בין היתר, פרטים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הפיסיים במשרדי קבלן כוח האדם, לרבות תנאים סניטריים הולמים, דרכי גישה חופשית לנכים ולמוגבלים, וכן קיום חדר נפרד לראיונות, המבטיח את פרטיותם של מועמדים לעבודה אצל קבלן כוח האדם; היה מבקש הרשיון קבלן כוח אדם שהחל בפעילותו טרם כניסת החוק לתוקף – פרטים בדבר תכניותיו להתאמת התנאים הפיסיים כאמור במהלך תקופת הרשיון;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הדרושים לשם חישוב סכום הערובה.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לרשיון רשאי להגיש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בתאגיד – מנהל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בעסק שאינו תאגיד – בעל העסק.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לבקשה לרשיון יצורפו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תאגיד – תעודה המעידה על רישומו כדין בצירוף מסמכי היסוד של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עסק שאינו תאגיד – תעודה המעידה על רישום העסק לצורכי מס הכנסה או 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מסמך המעיד על מינוי מנהל התאגיד או המעיד על הבעלות בעסק,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הסכמה בכתב של מנהל התאגיד, בעל העסק וכל מי שממלא תפקיד בכיר בתאגיד או בעסק, לפי הענין, שהשר יקבל לגביו מידע מן המרשם הפלילי כמשמעותו בחוק המרשם הפלילי ותקנת השבים,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שבעת הגשת הבקשה לרשיון עדיין אינו קבלן כוח אדם, יגיש בקשה לרשיון בשינויים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המסמכים המנויים בתקנת משנה (ד)(1) עד (3), יגיש תיאור מפורט של התאגיד או העסק המתוכנן, לפי הענין, מבנהו וזהות מנהלו;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הסכמה כאמור בתקנת משנה (ד)(4), יתן גם כל מי שידוע בעת הגשת הבקשה כי הוא עתיד למלא תפקיד בכיר בתאגיד או בעסק.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w:t>
                </w:r>
              </w:p>
            </w:txbxContent>
          </v:textbox>
        </v:rect>
      </w:pict>
      <w:r>
        <w:rPr>
          <w:lang w:bidi="he-IL"/>
          <w:rFonts w:hint="cs" w:cs="FrankRuehl"/>
          <w:szCs w:val="34"/>
          <w:rtl/>
        </w:rPr>
        <w:t xml:space="preserve">3.</w:t>
      </w:r>
      <w:r>
        <w:rPr>
          <w:lang w:bidi="he-IL"/>
          <w:rFonts w:hint="cs" w:cs="FrankRuehl"/>
          <w:szCs w:val="26"/>
          <w:rtl/>
        </w:rPr>
        <w:tab/>
        <w:t xml:space="preserve">השר רשאי לדרוש ממבקש הרשיון הבהרות, פרטים נוספים, מסמכים ותצהירים נוספים הנחוצים, לדעתו, לשם טיפול בבקשה.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 לרשיון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יחליט בבקשה לרשיון תוך שלושה חודשים מיום הגשתה, תוך חודשיים מיום קבלת פרטים ומסמכים עקב דרישה לפי תקנה 3, או תוך שבועיים מיום השימוע לפי סעיף 5 לחוק אם לא באה בעקבותיו דרישה לפי תקנה 3, הכל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השר ליתן את הרשיון, יודיע למבקש הרשיון על הכוונה לתתו לאחר שימציא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השר על יסוד בקשה שהוגשה לפי תקנה 2(ה) כי נתקיימו במבקש הרשיון, לכאורה, התנאים למתן רשיון, יודיע לו על כוונה ליתן רשיון לאחר שישלים את המסמכים המנויים בתקנה 2(ד) ולאחר שימציא ערובה, ובלבד שלא יחול שינוי מהותי, לדעת השר, בפרטים ובמסמכים שעליהם הושתתה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הומצאה לשר ערובה תוך שלושים ימים מיום הודעת השר כאמור בתקנת משנה (ב) או (ג), לפי הענין, רשאי השר לבטל את הודעתו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רשיון</w:t>
                </w:r>
              </w:p>
            </w:txbxContent>
          </v:textbox>
        </v:rect>
      </w:pict>
      <w:r>
        <w:rPr>
          <w:lang w:bidi="he-IL"/>
          <w:rFonts w:hint="cs" w:cs="FrankRuehl"/>
          <w:szCs w:val="34"/>
          <w:rtl/>
        </w:rPr>
        <w:t xml:space="preserve">5.</w:t>
      </w:r>
      <w:r>
        <w:rPr>
          <w:lang w:bidi="he-IL"/>
          <w:rFonts w:hint="cs" w:cs="FrankRuehl"/>
          <w:szCs w:val="26"/>
          <w:rtl/>
        </w:rPr>
        <w:tab/>
        <w:t xml:space="preserve">נתקיימו במבקש הרשיון התנאים לכך לפי החוק וקיים את המוטל עליו לפי תקנות אלה, יתן לו השר רשיון, ותוקפו מיום נתינתו.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התקנות על קבלן שירות</w:t>
                </w:r>
              </w:p>
            </w:txbxContent>
          </v:textbox>
        </v:rect>
      </w:pict>
      <w:r>
        <w:rPr>
          <w:lang w:bidi="he-IL"/>
          <w:rFonts w:hint="cs" w:cs="FrankRuehl"/>
          <w:szCs w:val="34"/>
          <w:rtl/>
        </w:rPr>
        <w:t xml:space="preserve">5א.</w:t>
      </w:r>
      <w:r>
        <w:rPr>
          <w:lang w:bidi="he-IL"/>
          <w:rFonts w:hint="cs" w:cs="FrankRuehl"/>
          <w:szCs w:val="26"/>
          <w:rtl/>
        </w:rPr>
        <w:tab/>
        <w:t xml:space="preserve">הוראות תקנות אלה יחולו, בשינויים המחויבים, על קבלן שירות כהגדרתם בחוק.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העסקת עובדים על ידי קבלני כוח אדם (בקשה לרשיון), תשנ"ו-1996, נוסח עדכני נכון ליום 20.04.2023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7c8c3fdd58844d7" /><Relationship Type="http://schemas.openxmlformats.org/officeDocument/2006/relationships/header" Target="/word/header1.xml" Id="r97" /><Relationship Type="http://schemas.openxmlformats.org/officeDocument/2006/relationships/footer" Target="/word/footer1.xml" Id="r98" /></Relationships>
</file>