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da773ba5574490e"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הפיקוח על מעונות (פטור מרשיון לניהול מעון), תשכ"ו-1966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לפטור</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נוסח הבקשה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הבאת הבקשה לדיון בממשלה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על הכרה</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 הפטור ושינוי תנאיו</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הגשת בקשה לרשיון לניהול מעון</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הפיקוח על מעונות (פטור מרשיון לניהול מעון), תשכ"ו-1966</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3(ב) ו-12(א) לחוק הפיקוח על מעונות, תשכ"ה-1965,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"מעון ציבורי" – מעון שנוסד ומתנהל על ידי מוסד ציבורי או ארגון ציבורי.</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לפטור</w:t>
                </w:r>
              </w:p>
            </w:txbxContent>
          </v:textbox>
        </v:rect>
      </w:pict>
      <w:r>
        <w:rPr>
          <w:lang w:bidi="he-IL"/>
          <w:rFonts w:hint="cs" w:cs="FrankRuehl"/>
          <w:szCs w:val="34"/>
          <w:rtl/>
        </w:rPr>
        <w:t xml:space="preserve">2.</w:t>
      </w:r>
      <w:r>
        <w:rPr>
          <w:lang w:bidi="he-IL"/>
          <w:rFonts w:hint="cs" w:cs="FrankRuehl"/>
          <w:szCs w:val="26"/>
          <w:rtl/>
        </w:rPr>
        <w:tab/>
        <w:t xml:space="preserve">אדם המנהל מעון ציבורי והוא רוצה לבקש פטור מרשיון לניהולו על פי סעיף 3(ב) לחוק, יגיש לשר הסעד בקשה לכך.</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נוסח הבקשה</w:t>
                </w:r>
              </w:p>
            </w:txbxContent>
          </v:textbox>
        </v:rect>
      </w:pict>
      <w:r>
        <w:rPr>
          <w:lang w:bidi="he-IL"/>
          <w:rFonts w:hint="cs" w:cs="FrankRuehl"/>
          <w:szCs w:val="34"/>
          <w:rtl/>
        </w:rPr>
        <w:t xml:space="preserve">3.</w:t>
      </w:r>
      <w:r>
        <w:rPr>
          <w:lang w:bidi="he-IL"/>
          <w:rFonts w:hint="cs" w:cs="FrankRuehl"/>
          <w:szCs w:val="26"/>
          <w:rtl/>
        </w:rPr>
        <w:tab/>
        <w:t xml:space="preserve">בבקשה לפי תקנה 2 יוכללו הפרטים שיש לכלול אותם בטופס הבקשה שנקבע, לגבי מעון מהסוג שעבורו מבוקש הפטור, בתוספת הראשונה לתקנות הפיקוח על מעונות (בקשה לרשיון), תשכ"ה-1965.</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הבאת הבקשה לדיון בממשלה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ראה שר הסעד שיש מקום להעניק פטור למעון ציבורי, רשאי הוא להביא את הבקשה לדיון בממשלה.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האמור בתקנה זו אינו גורע מסמכות הממשלה לפי החוק.</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על הכרה</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החליטה הממשלה שלא להכיר במעון ציבורי כמעון ציבורי לפי סעיף 3(ב) לחוק, יודיע שר הסעד למבקש על 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החליטה הממשלה להכיר במעון ציבורי כמעון ציבורי לפי סעיף 3(ב) לחוק, יודיע שר הסעד למבקש, לפי הטופס שבתוספת, על מתן הפטור ועל תנאיו.</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 הפטור ושינוי תנאיו</w:t>
                </w:r>
              </w:p>
            </w:txbxContent>
          </v:textbox>
        </v:rect>
      </w:pict>
      <w:r>
        <w:rPr>
          <w:lang w:bidi="he-IL"/>
          <w:rFonts w:hint="cs" w:cs="FrankRuehl"/>
          <w:szCs w:val="34"/>
          <w:rtl/>
        </w:rPr>
        <w:t xml:space="preserve">6.</w:t>
      </w:r>
      <w:r>
        <w:rPr>
          <w:lang w:bidi="he-IL"/>
          <w:rFonts w:hint="cs" w:cs="FrankRuehl"/>
          <w:szCs w:val="26"/>
          <w:rtl/>
        </w:rPr>
        <w:tab/>
        <w:t xml:space="preserve">שר הסעד רשאי לבטל את הפטור שניתן למעון ציבורי, לשנות את תנאי הפטור, להוסיף עליהם ולגרוע מהם אם, לדעתו, חל שינוי בתנאי ניהולו, כפי שפורטו בבקשה לפטור, במידה המצדיקה, לדעתו, לעשות כן או אם המשך הפטור עלול לפגוע בטובת החוסים במעון.</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הגשת בקשה לרשיון לניהול מעון</w:t>
                </w:r>
              </w:p>
            </w:txbxContent>
          </v:textbox>
        </v:rect>
      </w:pict>
      <w:r>
        <w:rPr>
          <w:lang w:bidi="he-IL"/>
          <w:rFonts w:hint="cs" w:cs="FrankRuehl"/>
          <w:szCs w:val="34"/>
          <w:rtl/>
        </w:rPr>
        <w:t xml:space="preserve">7.</w:t>
      </w:r>
      <w:r>
        <w:rPr>
          <w:lang w:bidi="he-IL"/>
          <w:rFonts w:hint="cs" w:cs="FrankRuehl"/>
          <w:szCs w:val="26"/>
          <w:rtl/>
        </w:rPr>
        <w:tab/>
        <w:t xml:space="preserve">על אף האמור בתקנה 3 לתקנות הפיקוח על מעונות (בקשה לרשיון), תשכ"ה-1965, תוגש הבקשה לרשיון ניהול מעון שעבורו לא ניתן פטור או שהפטור שניתן לו בוטל או פקע, לא יאוחר מאשר שלושה חדשים מהיום בו נמסרה ההודעה על כך.</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8.</w:t>
      </w:r>
      <w:r>
        <w:rPr>
          <w:lang w:bidi="he-IL"/>
          <w:rFonts w:hint="cs" w:cs="FrankRuehl"/>
          <w:szCs w:val="26"/>
          <w:rtl/>
        </w:rPr>
        <w:tab/>
        <w:t xml:space="preserve">לתקנות אלה ייקרא "תקנות הפיקוח על מעונות (פטור מרשיון לניהול מעון), תשכ"ו-1966".</w:t>
      </w:r>
    </w:p>
    <w:p>
      <w:pPr>
        <w:bidi/>
        <w:spacing w:before="70" w:after="5" w:line="250" w:lineRule="auto"/>
        <w:jc w:val="center"/>
      </w:pPr>
      <w:defaultTabStop w:val="720"/>
      <w:bookmarkStart w:name="h9" w:id="9"/>
      <w:bookmarkEnd w:id="9"/>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1586aad950474927">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החלטתי לפטור את המעון מרשיון ניהול לתקופה של __________ החל מיום __________ בכפוף לתנאים הבאים:
(א) __________________________________________________________
(ב) __________________________________________________________
(ג) __________________________________________________________
(ד) __________________________________________________________</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החלטתי לא לפטור אותך(ם) מחובת רשיון לניהול המעון.
תשומת לבכם מופנית לכך כי עליכם להגיש בקשה לרשיון לניהול המעון בהתאם לתקנות הפיקוח על מעונות (בקשה לרשיון), תשכ"ה-1965, תוך שלושה חדשים מיום קבלת הודעה זו.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יוסף בורג</w:t>
                </w:r>
              </w:p>
              <w:p>
                <w:pPr>
                  <w:bidi/>
                  <w:spacing w:before="45" w:after="3" w:line="250" w:lineRule="auto"/>
                  <w:jc w:val="center"/>
                </w:pPr>
                <w:defaultTabStop w:val="720"/>
                <w:r>
                  <w:rPr>
                    <w:lang w:bidi="he-IL"/>
                    <w:rFonts w:hint="cs" w:cs="FrankRuehl"/>
                    <w:szCs w:val="22"/>
                    <w:rtl/>
                  </w:rPr>
                  <w:t xml:space="preserve">שר הסעד</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הפיקוח על מעונות (פטור מרשיון לניהול מעון), תשכ"ו-1966, נוסח עדכני נכון ליום 13.10.2022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86c31935bef4137" /><Relationship Type="http://schemas.openxmlformats.org/officeDocument/2006/relationships/hyperlink" Target="https://www.nevo.co.il/laws/#/6336ae80d29b0b6569f7d13c/clause/6336b06fd29b0b6569f7d184" TargetMode="External" Id="R1586aad950474927" /><Relationship Type="http://schemas.openxmlformats.org/officeDocument/2006/relationships/header" Target="/word/header1.xml" Id="r97" /><Relationship Type="http://schemas.openxmlformats.org/officeDocument/2006/relationships/footer" Target="/word/footer1.xml" Id="r98" /></Relationships>
</file>