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b9ebf6a4c454fe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התחרות הכלכלית (סדרי דין בבית הדין ובערעור), תשמ"ט-1988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ב':הסדר כובל</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לאישור הסדר כובל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מתנגד לבקשה לאישור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צד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למתן היתר זמני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היתר זמני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 על ביטול הפטור</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לביטול או לשינוי אישור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ג':מיזוג חברות</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משיב בערר על התנגדות הממונה למיזוג חברות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משיבים בערר על הסכמת הממונה למיזוג חברות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להפרדת חברות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ד':מונופולין וקביעת הממונה</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משיב בערר על דרישת הממונה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להסדרת פעולות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להפרדת מונופולין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 על קביעת הממונה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ה':כתב בקשה וכתב תשובה</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א':כתב בקשה וכתב תשובה</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תשובה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תצהיר</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ב':הדיון בבקשה</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מועד הדיון והזמנת בעלי הדין</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דיון שלא בפני בעלי הדין</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הדיון וסיכומים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טענות הממונה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חקירת מצהיר</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מומחה מטעם בית הדין</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דיני ראיות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בעלי דין</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פומביות הדיון</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פרוטוקול</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החלטה</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ג':שונות</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מסמכים</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עדים</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הוצאות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חילופי חבר מותב בית הדין</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 באין הוראה בחיקוק</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בקשות בפני אב בית הדין</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ו':ערעור</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 בערעור</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ז':שונות</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התחרות הכלכלית (סדרי דין בבית הדין ובערעור), תשמ"ט-1988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40 לחוק התחרות הכלכלית, התשמ"ח-1988 (להלן – החוק), ובתוקף שאר הסמכויות הנתונות לי לפי כל דין, אני מתקין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בקשה, פניה או ערר המוגשים לבית הדין או לאב בית הדין לפי הענין;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סדר הדין" – תקנות סדר הדין האזרחי, התשע"ט-2018.</w:t>
      </w:r>
    </w:p>
    <w:p>
      <w:pPr>
        <w:bidi/>
        <w:spacing w:before="70" w:after="5" w:line="250" w:lineRule="auto"/>
        <w:jc w:val="center"/>
      </w:pPr>
      <w:defaultTabStop w:val="720"/>
      <w:r>
        <w:rPr>
          <w:lang w:bidi="he-IL"/>
          <w:rFonts w:hint="cs" w:cs="FrankRuehl"/>
          <w:szCs w:val="26"/>
          <w:b/>
          <w:bCs/>
          <w:rtl/>
        </w:rPr>
        <w:t xml:space="preserve">פרק ב':הסדר כובל</w:t>
      </w:r>
      <w:bookmarkStart w:name="h3" w:id="3"/>
      <w:bookmarkEnd w:id="3"/>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לאישור הסדר כובל</w:t>
                </w:r>
              </w:p>
            </w:txbxContent>
          </v:textbox>
        </v:rect>
      </w:pict>
      <w:r>
        <w:rPr>
          <w:lang w:bidi="he-IL"/>
          <w:rFonts w:hint="cs" w:cs="FrankRuehl"/>
          <w:szCs w:val="34"/>
          <w:rtl/>
        </w:rPr>
        <w:t xml:space="preserve">2.</w:t>
      </w:r>
      <w:r>
        <w:rPr>
          <w:lang w:bidi="he-IL"/>
          <w:rFonts w:hint="cs" w:cs="FrankRuehl"/>
          <w:szCs w:val="26"/>
          <w:rtl/>
        </w:rPr>
        <w:tab/>
        <w:t xml:space="preserve">בקשה לאישור הסדר כובל לפי סעיף 7(א) לחוק תיערך לפי טופס 1 בתוספת (בפרק זה – בקשה לאישור).</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מתנגד לבקשה לאישור</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מתנגד לפי סעיף 8(ב) יגיש כתב התנגדות מנומק לבית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הוגשה התנגדות, יראו את המתנגד, לכל ענין, כמשיב נוסף בבקשה.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צד</w:t>
                </w:r>
              </w:p>
            </w:txbxContent>
          </v:textbox>
        </v:rect>
      </w:pict>
      <w:r>
        <w:rPr>
          <w:lang w:bidi="he-IL"/>
          <w:rFonts w:hint="cs" w:cs="FrankRuehl"/>
          <w:szCs w:val="34"/>
          <w:rtl/>
        </w:rPr>
        <w:t xml:space="preserve">4.</w:t>
      </w:r>
      <w:r>
        <w:rPr>
          <w:lang w:bidi="he-IL"/>
          <w:rFonts w:hint="cs" w:cs="FrankRuehl"/>
          <w:szCs w:val="26"/>
          <w:rtl/>
        </w:rPr>
        <w:tab/>
        <w:t xml:space="preserve">המבקש לעשות הסדר כובל שלא צויין בבקשה לאישור כמבקש, רשאי להודיע לבית הדין כי הוא מצטרף לדיון; מיום שהצטרף יראוהו, לכל ענין, כמבקש.</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למתן היתר זמני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בקשה למתן היתר זמני לפי סעיף 13(א) לחוק תוגש לאב בית הדין ותצורף אליה המלצת הממונה.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המבקשים והמשיבים בבקשה למתן היתר זמני יהיו אלה שבבקשה לאישור.</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היתר זמני</w:t>
                </w:r>
              </w:p>
            </w:txbxContent>
          </v:textbox>
        </v:rect>
      </w:pict>
      <w:r>
        <w:rPr>
          <w:lang w:bidi="he-IL"/>
          <w:rFonts w:hint="cs" w:cs="FrankRuehl"/>
          <w:szCs w:val="34"/>
          <w:rtl/>
        </w:rPr>
        <w:t xml:space="preserve">6.</w:t>
      </w:r>
      <w:r>
        <w:rPr>
          <w:lang w:bidi="he-IL"/>
          <w:rFonts w:hint="cs" w:cs="FrankRuehl"/>
          <w:szCs w:val="26"/>
          <w:rtl/>
        </w:rPr>
        <w:tab/>
        <w:t xml:space="preserve">המשיבים בבקשה לפי סעיף 13(ג) לחוק יהיו הצדדים להסדר הכובל, ואם הוגשה הבקשה בידי משיב בבקשה לאישור – גם הממונה.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 על ביטול הפטור</w:t>
                </w:r>
              </w:p>
            </w:txbxContent>
          </v:textbox>
        </v:rect>
      </w:pict>
      <w:r>
        <w:rPr>
          <w:lang w:bidi="he-IL"/>
          <w:rFonts w:hint="cs" w:cs="FrankRuehl"/>
          <w:szCs w:val="34"/>
          <w:rtl/>
        </w:rPr>
        <w:t xml:space="preserve">7.</w:t>
      </w:r>
      <w:r>
        <w:rPr>
          <w:lang w:bidi="he-IL"/>
          <w:rFonts w:hint="cs" w:cs="FrankRuehl"/>
          <w:szCs w:val="26"/>
          <w:rtl/>
        </w:rPr>
        <w:tab/>
        <w:t xml:space="preserve">המשיבים בערר לפי סעיף 15(א) לחוק הם הממונה והצדדים להסדר הכובל שלגביו ניתן פטור.</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לביטול או לשינוי אישור</w:t>
                </w:r>
              </w:p>
            </w:txbxContent>
          </v:textbox>
        </v:rect>
      </w:pict>
      <w:r>
        <w:rPr>
          <w:lang w:bidi="he-IL"/>
          <w:rFonts w:hint="cs" w:cs="FrankRuehl"/>
          <w:szCs w:val="34"/>
          <w:rtl/>
        </w:rPr>
        <w:t xml:space="preserve">8.</w:t>
      </w:r>
      <w:r>
        <w:rPr>
          <w:lang w:bidi="he-IL"/>
          <w:rFonts w:hint="cs" w:cs="FrankRuehl"/>
          <w:szCs w:val="26"/>
          <w:rtl/>
        </w:rPr>
        <w:tab/>
        <w:t xml:space="preserve">המשיבים בבקשה לפי סעיף 12(א) לחוק הם מי שהיו המבקשים והמשיבים בבקשה לאישור.</w:t>
      </w:r>
    </w:p>
    <w:p>
      <w:pPr>
        <w:bidi/>
        <w:spacing w:before="70" w:after="5" w:line="250" w:lineRule="auto"/>
        <w:jc w:val="center"/>
      </w:pPr>
      <w:defaultTabStop w:val="720"/>
      <w:r>
        <w:rPr>
          <w:lang w:bidi="he-IL"/>
          <w:rFonts w:hint="cs" w:cs="FrankRuehl"/>
          <w:szCs w:val="26"/>
          <w:b/>
          <w:bCs/>
          <w:rtl/>
        </w:rPr>
        <w:t xml:space="preserve">פרק ג':מיזוג חברות</w:t>
      </w:r>
      <w:bookmarkStart w:name="h11" w:id="11"/>
      <w:bookmarkEnd w:id="11"/>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משיב בערר על התנגדות הממונה למיזוג חברות</w:t>
                </w:r>
              </w:p>
            </w:txbxContent>
          </v:textbox>
        </v:rect>
      </w:pict>
      <w:r>
        <w:rPr>
          <w:lang w:bidi="he-IL"/>
          <w:rFonts w:hint="cs" w:cs="FrankRuehl"/>
          <w:szCs w:val="34"/>
          <w:rtl/>
        </w:rPr>
        <w:t xml:space="preserve">9.</w:t>
      </w:r>
      <w:r>
        <w:rPr>
          <w:lang w:bidi="he-IL"/>
          <w:rFonts w:hint="cs" w:cs="FrankRuehl"/>
          <w:szCs w:val="26"/>
          <w:rtl/>
        </w:rPr>
        <w:tab/>
        <w:t xml:space="preserve">המשיב בערר לפי סעיף 22(א) לחוק הוא הממונה.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משיבים בערר על הסכמת הממונה למיזוג חברות</w:t>
                </w:r>
              </w:p>
            </w:txbxContent>
          </v:textbox>
        </v:rect>
      </w:pict>
      <w:r>
        <w:rPr>
          <w:lang w:bidi="he-IL"/>
          <w:rFonts w:hint="cs" w:cs="FrankRuehl"/>
          <w:szCs w:val="34"/>
          <w:rtl/>
        </w:rPr>
        <w:t xml:space="preserve">10.</w:t>
      </w:r>
      <w:r>
        <w:rPr>
          <w:lang w:bidi="he-IL"/>
          <w:rFonts w:hint="cs" w:cs="FrankRuehl"/>
          <w:szCs w:val="26"/>
          <w:rtl/>
        </w:rPr>
        <w:tab/>
        <w:t xml:space="preserve">המשיבים בערר לפי סעיף 22(ב) לחוק הם הממונה והחברות המבקשות להתמזג.</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להפרדת חברות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בקשת הממונה לפי סעיף 25 לחוק תכלול בנוסף לאמור בתקנה 16(ב), את הפרטים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מהות המיזוג;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הפגיעה שפוגע המיזוג בתחרות או בציבור;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דרכים להפרדת החברות שמוזגו.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המשיבות בבקשה הן החברות שמוזגו.</w:t>
      </w:r>
    </w:p>
    <w:p>
      <w:pPr>
        <w:bidi/>
        <w:spacing w:before="70" w:after="5" w:line="250" w:lineRule="auto"/>
        <w:jc w:val="center"/>
      </w:pPr>
      <w:defaultTabStop w:val="720"/>
      <w:r>
        <w:rPr>
          <w:lang w:bidi="he-IL"/>
          <w:rFonts w:hint="cs" w:cs="FrankRuehl"/>
          <w:szCs w:val="26"/>
          <w:b/>
          <w:bCs/>
          <w:rtl/>
        </w:rPr>
        <w:t xml:space="preserve">פרק ד':מונופולין וקביעת הממונה</w:t>
      </w:r>
      <w:bookmarkStart w:name="h15" w:id="15"/>
      <w:bookmarkEnd w:id="15"/>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משיב בערר על דרישת הממונה</w:t>
                </w:r>
              </w:p>
            </w:txbxContent>
          </v:textbox>
        </v:rect>
      </w:pict>
      <w:r>
        <w:rPr>
          <w:lang w:bidi="he-IL"/>
          <w:rFonts w:hint="cs" w:cs="FrankRuehl"/>
          <w:szCs w:val="34"/>
          <w:rtl/>
        </w:rPr>
        <w:t xml:space="preserve">12.</w:t>
      </w:r>
      <w:r>
        <w:rPr>
          <w:lang w:bidi="he-IL"/>
          <w:rFonts w:hint="cs" w:cs="FrankRuehl"/>
          <w:szCs w:val="26"/>
          <w:rtl/>
        </w:rPr>
        <w:tab/>
        <w:t xml:space="preserve">המשיב בערר לפי סעיף 28 לחוק הוא הממונה.</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להסדרת פעולות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בקשת ממונה או ארגון צרכנים, לפי סעיף 30 לחוק, תכלול בנוסף לאמור בתקנה 16(ב), את הפרטים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מהות המונופולין;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הפגיעה שפוגע המונופולין בציבור;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הצעדים שיש לנקוט כדי למנוע את הפגיעה.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המשיב בבקשה הוא בעל המונופולין.</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להפרדת מונופולין</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בקשת ממונה לפי סעיף 31 לחוק, תכלול בנוסף לאמור בתקנה 17(ב), את הפרטים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מהות המונופולין;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הפגיעה שפוגע המונופולין בציבור;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הטעמים שבגללם יש לנקוט בדרך הפרדת המונופולין ולא להסתפק בהסדרת פעולותיו לפי סעיף 30 לחוק;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דרכים להפרדת המונופולין.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המשיב בבקשה הוא בעל המונופולין.</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 על קביעת הממונה</w:t>
                </w:r>
              </w:p>
            </w:txbxContent>
          </v:textbox>
        </v:rect>
      </w:pict>
      <w:r>
        <w:rPr>
          <w:lang w:bidi="he-IL"/>
          <w:rFonts w:hint="cs" w:cs="FrankRuehl"/>
          <w:szCs w:val="34"/>
          <w:rtl/>
        </w:rPr>
        <w:t xml:space="preserve">15.</w:t>
      </w:r>
      <w:r>
        <w:rPr>
          <w:lang w:bidi="he-IL"/>
          <w:rFonts w:hint="cs" w:cs="FrankRuehl"/>
          <w:szCs w:val="26"/>
          <w:rtl/>
        </w:rPr>
        <w:tab/>
        <w:t xml:space="preserve">המשיב בערר לפי סעיף 43(א) לחוק הוא הממונה.</w:t>
      </w:r>
    </w:p>
    <w:p>
      <w:pPr>
        <w:bidi/>
        <w:spacing w:before="70" w:after="5" w:line="250" w:lineRule="auto"/>
        <w:jc w:val="center"/>
      </w:pPr>
      <w:defaultTabStop w:val="720"/>
      <w:r>
        <w:rPr>
          <w:lang w:bidi="he-IL"/>
          <w:rFonts w:hint="cs" w:cs="FrankRuehl"/>
          <w:szCs w:val="26"/>
          <w:b/>
          <w:bCs/>
          <w:rtl/>
        </w:rPr>
        <w:t xml:space="preserve">פרק ה':כתב בקשה וכתב תשובה</w:t>
      </w:r>
      <w:bookmarkStart w:name="h20" w:id="20"/>
      <w:bookmarkEnd w:id="20"/>
    </w:p>
    <w:p>
      <w:pPr>
        <w:bidi/>
        <w:spacing w:before="70" w:after="5" w:line="250" w:lineRule="auto"/>
        <w:jc w:val="center"/>
      </w:pPr>
      <w:defaultTabStop w:val="720"/>
      <w:r>
        <w:rPr>
          <w:lang w:bidi="he-IL"/>
          <w:rFonts w:hint="cs" w:cs="FrankRuehl"/>
          <w:szCs w:val="26"/>
          <w:b/>
          <w:bCs/>
          <w:rtl/>
        </w:rPr>
        <w:t xml:space="preserve">סימן א':כתב בקשה וכתב תשובה</w:t>
      </w:r>
      <w:bookmarkStart w:name="h21" w:id="21"/>
      <w:bookmarkEnd w:id="21"/>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בקשה תוגש לבית הדין חתומה בידי המבקש.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בבקשה יפורטו שם המבקש, מענו ומען למסירת מסמכים, שמות המשיבים, מען המשיבים ונימוקי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לבקשה יצורפו העתקי החלטה של הממונה או של בית הדין, לפי הענין.</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תשובה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תשובה תוגש לבית הדין חתומה בידי המשיב.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בתשובה יפורטו שם המשיב, מענו ומען למסירת מסמכים, שמות המבקשים ונימוקי התשובה.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תשובה תוגש לבית הדין תוך שלושים ימים מיום שהומצאה הבקשה למשיב.</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תצהיר</w:t>
                </w:r>
              </w:p>
            </w:txbxContent>
          </v:textbox>
        </v:rect>
      </w:pict>
      <w:r>
        <w:rPr>
          <w:lang w:bidi="he-IL"/>
          <w:rFonts w:hint="cs" w:cs="FrankRuehl"/>
          <w:szCs w:val="34"/>
          <w:rtl/>
        </w:rPr>
        <w:t xml:space="preserve">18.</w:t>
      </w:r>
      <w:r>
        <w:rPr>
          <w:lang w:bidi="he-IL"/>
          <w:rFonts w:hint="cs" w:cs="FrankRuehl"/>
          <w:szCs w:val="26"/>
          <w:rtl/>
        </w:rPr>
        <w:tab/>
        <w:t xml:space="preserve">לבקשה או לתשובה יצורף תצהיר לאימות העובדות המשמשות יסוד לבקשה או לתשובה, שהמצהיר יכול להוכיחן מתוך ידיעתו הוא וכן רשאי הוא להצהיר לפי מיטב אמונתו ובלבד שיציין את הנימוקים לכך.</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19.</w:t>
      </w:r>
      <w:r>
        <w:rPr>
          <w:lang w:bidi="he-IL"/>
          <w:rFonts w:hint="cs" w:cs="FrankRuehl"/>
          <w:szCs w:val="26"/>
          <w:rtl/>
        </w:rPr>
        <w:tab/>
        <w:t xml:space="preserve">(בוטלה)</w:t>
      </w:r>
    </w:p>
    <w:p>
      <w:pPr>
        <w:bidi/>
        <w:spacing w:before="70" w:after="5" w:line="250" w:lineRule="auto"/>
        <w:jc w:val="center"/>
      </w:pPr>
      <w:defaultTabStop w:val="720"/>
      <w:r>
        <w:rPr>
          <w:lang w:bidi="he-IL"/>
          <w:rFonts w:hint="cs" w:cs="FrankRuehl"/>
          <w:szCs w:val="26"/>
          <w:b/>
          <w:bCs/>
          <w:rtl/>
        </w:rPr>
        <w:t xml:space="preserve">סימן ב':הדיון בבקשה</w:t>
      </w:r>
      <w:bookmarkStart w:name="h26" w:id="26"/>
      <w:bookmarkEnd w:id="26"/>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מועד הדיון והזמנת בעלי הדין</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קביעת מועד הדיון והזמנת בעלי הדין לדיון תיעשה בידי בית הדין.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ההזמנה תישלח שבעה ימים לפחות לפני מועד הדיון.</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דיון שלא בפני בעלי הדין</w:t>
                </w:r>
              </w:p>
            </w:txbxContent>
          </v:textbox>
        </v:rect>
      </w:pict>
      <w:r>
        <w:rPr>
          <w:lang w:bidi="he-IL"/>
          <w:rFonts w:hint="cs" w:cs="FrankRuehl"/>
          <w:szCs w:val="34"/>
          <w:rtl/>
        </w:rPr>
        <w:t xml:space="preserve">21.</w:t>
      </w:r>
      <w:r>
        <w:rPr>
          <w:lang w:bidi="he-IL"/>
          <w:rFonts w:hint="cs" w:cs="FrankRuehl"/>
          <w:szCs w:val="26"/>
          <w:rtl/>
        </w:rPr>
        <w:tab/>
        <w:t xml:space="preserve">לא התייצב בעל דין במועד שנקבע לדיון בבקשה, רשאי בית הדין לדחות את הדיון או לדון בבקשה שלא לפניו.</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הדיון וסיכומים</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בית הדין יקבע את סדר שמיעת בעלי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רשאי לצוות על בעלי הדין לסכם את טענותיהם בעל פה או בכתב.</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טענות הממונה</w:t>
                </w:r>
              </w:p>
            </w:txbxContent>
          </v:textbox>
        </v:rect>
      </w:pict>
      <w:r>
        <w:rPr>
          <w:lang w:bidi="he-IL"/>
          <w:rFonts w:hint="cs" w:cs="FrankRuehl"/>
          <w:szCs w:val="34"/>
          <w:rtl/>
        </w:rPr>
        <w:t xml:space="preserve">23.</w:t>
      </w:r>
      <w:r>
        <w:rPr>
          <w:lang w:bidi="he-IL"/>
          <w:rFonts w:hint="cs" w:cs="FrankRuehl"/>
          <w:szCs w:val="26"/>
          <w:rtl/>
        </w:rPr>
        <w:tab/>
        <w:t xml:space="preserve">הממונה יוזמן לכל דיוני בית הדין והוא רשאי להביע את עמדתו בכל שלב של הדיון.</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חקירת מצהיר</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בעל דין רשאי לחקור מצהיר חקירה שכנגד ובלבד שהודיע על כך לבית הדין ולבעל הדין שכנגד שבעה ימים לפחות לפני מועד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התייצב המצהיר בהתאם להודעה, לא ישמש תצהירו ראיה אלא ברשות מיוחדת של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הדין רשאי בכל עת לדרוש, מיזמתו הוא, התייצבותו של מצהיר לשם חקירה, והוראות תקנת משנה (ב) יחולו.</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מומחה מטעם בית הדין</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בית הדין רשאי, בכל עת, לאחר שנתן לבעלי הדין הזדמנות נאותה להשמיע את טענותיהם, לקבוע מומחה או מומחים לענין שבמחלוקת בין בעלי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 מומחה כאמור בתקנת משנה (א) לפי בקשת כל בעלי הדין או בהסכמתם, לא יהיו בעלי הדין רשאים להביא עדות נוספת של מומחה לענין הנדון, אלא ברשות בית הדין, ומטעמים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הדין רשאי להורות, בכל עת, לבעלי הדין או לאחד מהם, להפקיד סכומי כסף שיקבע לכיסוי שכרו והוצאותיו של מומחה; בגמר הדיון יחליט בית הדין מי ישא בשכר ובהוצאות המומחה.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"מומחה" – מי שעוסק כמומחה בנושא שבמדע, במחקר, באמנות או במקצוע.</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דיני ראיות</w:t>
                </w:r>
              </w:p>
            </w:txbxContent>
          </v:textbox>
        </v:rect>
      </w:pict>
      <w:r>
        <w:rPr>
          <w:lang w:bidi="he-IL"/>
          <w:rFonts w:hint="cs" w:cs="FrankRuehl"/>
          <w:szCs w:val="34"/>
          <w:rtl/>
        </w:rPr>
        <w:t xml:space="preserve">26.</w:t>
      </w:r>
      <w:r>
        <w:rPr>
          <w:lang w:bidi="he-IL"/>
          <w:rFonts w:hint="cs" w:cs="FrankRuehl"/>
          <w:szCs w:val="26"/>
          <w:rtl/>
        </w:rPr>
        <w:tab/>
        <w:t xml:space="preserve">בית הדין לא יהיה קשור בדיני ראיות, פרט לדינים בדבר חסינות עדים ובדבר ראיות חסויות כאמור בפרק ג' לפקודת הראיות [נוסח חדש], תשל"א-1971.</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בעלי דין</w:t>
                </w:r>
              </w:p>
            </w:txbxContent>
          </v:textbox>
        </v:rect>
      </w:pict>
      <w:r>
        <w:rPr>
          <w:lang w:bidi="he-IL"/>
          <w:rFonts w:hint="cs" w:cs="FrankRuehl"/>
          <w:szCs w:val="34"/>
          <w:rtl/>
        </w:rPr>
        <w:t xml:space="preserve">27.</w:t>
      </w:r>
      <w:r>
        <w:rPr>
          <w:lang w:bidi="he-IL"/>
          <w:rFonts w:hint="cs" w:cs="FrankRuehl"/>
          <w:szCs w:val="26"/>
          <w:rtl/>
        </w:rPr>
        <w:tab/>
        <w:t xml:space="preserve">בית הדין רשאי, בכל שלב של הדיון, לצרף כבעל דין מי שימצא לנכון ובתנאים שייראו לו.</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פומביות הדיון</w:t>
                </w:r>
              </w:p>
            </w:txbxContent>
          </v:textbox>
        </v:rect>
      </w:pict>
      <w:r>
        <w:rPr>
          <w:lang w:bidi="he-IL"/>
          <w:rFonts w:hint="cs" w:cs="FrankRuehl"/>
          <w:szCs w:val="34"/>
          <w:rtl/>
        </w:rPr>
        <w:t xml:space="preserve">28.</w:t>
      </w:r>
      <w:r>
        <w:rPr>
          <w:lang w:bidi="he-IL"/>
          <w:rFonts w:hint="cs" w:cs="FrankRuehl"/>
          <w:szCs w:val="26"/>
          <w:rtl/>
        </w:rPr>
        <w:tab/>
        <w:t xml:space="preserve">דיוני בית הדין יתקיימו בפומבי זולת אם החליט בית הדין אחרת מטעמים מיוחדים שיירשמו.</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פרוטוקול</w:t>
                </w:r>
              </w:p>
            </w:txbxContent>
          </v:textbox>
        </v:rect>
      </w:pict>
      <w:r>
        <w:rPr>
          <w:lang w:bidi="he-IL"/>
          <w:rFonts w:hint="cs" w:cs="FrankRuehl"/>
          <w:szCs w:val="34"/>
          <w:rtl/>
        </w:rPr>
        <w:t xml:space="preserve">29.</w:t>
      </w:r>
      <w:r>
        <w:rPr>
          <w:lang w:bidi="he-IL"/>
          <w:rFonts w:hint="cs" w:cs="FrankRuehl"/>
          <w:szCs w:val="26"/>
          <w:rtl/>
        </w:rPr>
        <w:tab/>
        <w:t xml:space="preserve">הדיונים יירשמו בפרוטוקול בדרך שיקבע בית הדין.</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החלטה</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החלטת בית הדין תהיה מנומקת ותיחתם בידי חברי המותב.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 בית הדין תהיה על פי דעת רוב חברי המותב, אך כל אחד מהם רשאי לרשום דעה חולקת וליתן את נימוקיו לכך; אם אין רוב לדעה אחת – תכריע דעת אב בית הדין.</w:t>
      </w:r>
    </w:p>
    <w:p>
      <w:pPr>
        <w:bidi/>
        <w:spacing w:before="70" w:after="5" w:line="250" w:lineRule="auto"/>
        <w:jc w:val="center"/>
      </w:pPr>
      <w:defaultTabStop w:val="720"/>
      <w:r>
        <w:rPr>
          <w:lang w:bidi="he-IL"/>
          <w:rFonts w:hint="cs" w:cs="FrankRuehl"/>
          <w:szCs w:val="26"/>
          <w:b/>
          <w:bCs/>
          <w:rtl/>
        </w:rPr>
        <w:t xml:space="preserve">סימן ג':שונות</w:t>
      </w:r>
      <w:bookmarkStart w:name="h38" w:id="38"/>
      <w:bookmarkEnd w:id="38"/>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מסמכים</w:t>
                </w:r>
              </w:p>
            </w:txbxContent>
          </v:textbox>
        </v:rect>
      </w:pict>
      <w:r>
        <w:rPr>
          <w:lang w:bidi="he-IL"/>
          <w:rFonts w:hint="cs" w:cs="FrankRuehl"/>
          <w:szCs w:val="34"/>
          <w:rtl/>
        </w:rPr>
        <w:t xml:space="preserve">31.</w:t>
      </w:r>
      <w:r>
        <w:rPr>
          <w:lang w:bidi="he-IL"/>
          <w:rFonts w:hint="cs" w:cs="FrankRuehl"/>
          <w:szCs w:val="26"/>
          <w:rtl/>
        </w:rPr>
        <w:tab/>
        <w:t xml:space="preserve">על המצאת מסמכים והחלטות לפי תקנות אלה יחול פרק י"ט לחלק ב' לתקנות סדר הדין, בשינויים המחוייבים.</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עדים</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עד שהוזמן להעיד או להציג מסמך או מוצג אחר לפני בית הדין, רשאי בית הדין לפסוק לו דמי נסיעה ולינה ושכר בטלה כמו לעד שהוזמן להעיד בפני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העיד אדם בבית הדין כמומחה, ישולם לו, בנוסף לדמי הנסיעה והלינה, שכר כפי שייראה לבית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הוצאות</w:t>
                </w:r>
              </w:p>
            </w:txbxContent>
          </v:textbox>
        </v:rect>
      </w:pict>
      <w:r>
        <w:rPr>
          <w:lang w:bidi="he-IL"/>
          <w:rFonts w:hint="cs" w:cs="FrankRuehl"/>
          <w:szCs w:val="34"/>
          <w:rtl/>
        </w:rPr>
        <w:t xml:space="preserve">33.</w:t>
      </w:r>
      <w:r>
        <w:rPr>
          <w:lang w:bidi="he-IL"/>
          <w:rFonts w:hint="cs" w:cs="FrankRuehl"/>
          <w:szCs w:val="26"/>
          <w:rtl/>
        </w:rPr>
        <w:tab/>
        <w:t xml:space="preserve">בית הדין רשאי להחליט בדבר הוצאות בעלי הדין, לרבות שכר טרחת עורך דין, ככל שהדבר ייראה לו בנסיבות הענין.</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חילופי חבר מותב בית הדין</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נבצר מחבר מותב בית הדין להמשיך בדיון, ימנה אב בית הדין חבר אחר תחתיו.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מונה חבר אחר למותב בית הדין, יימשך הדיון מהשלב שאליו הגיע, אולם רשאי אב בית הדין להורות שראיות שנגבו ייגבו מחדש.</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 באין הוראה בחיקוק</w:t>
                </w:r>
              </w:p>
            </w:txbxContent>
          </v:textbox>
        </v:rect>
      </w:pict>
      <w:r>
        <w:rPr>
          <w:lang w:bidi="he-IL"/>
          <w:rFonts w:hint="cs" w:cs="FrankRuehl"/>
          <w:szCs w:val="34"/>
          <w:rtl/>
        </w:rPr>
        <w:t xml:space="preserve">35.</w:t>
      </w:r>
      <w:r>
        <w:rPr>
          <w:lang w:bidi="he-IL"/>
          <w:rFonts w:hint="cs" w:cs="FrankRuehl"/>
          <w:szCs w:val="26"/>
          <w:rtl/>
        </w:rPr>
        <w:tab/>
        <w:t xml:space="preserve">בכל ענין של סדרי דין שאין עליו הוראה בחוק או בתקנות אלה, ידון בית הדין בדרך הנראית לו מועילה ביותר להכרעה צודקת ומהירה.</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בקשות בפני אב בית הדין</w:t>
                </w:r>
              </w:p>
            </w:txbxContent>
          </v:textbox>
        </v:rect>
      </w:pict>
      <w:r>
        <w:rPr>
          <w:lang w:bidi="he-IL"/>
          <w:rFonts w:hint="cs" w:cs="FrankRuehl"/>
          <w:szCs w:val="34"/>
          <w:rtl/>
        </w:rPr>
        <w:t xml:space="preserve">36.</w:t>
      </w:r>
      <w:r>
        <w:rPr>
          <w:lang w:bidi="he-IL"/>
          <w:rFonts w:hint="cs" w:cs="FrankRuehl"/>
          <w:szCs w:val="26"/>
          <w:rtl/>
        </w:rPr>
        <w:tab/>
        <w:t xml:space="preserve">פרק זה יחול גם על בקשות הנידונות בפני אב בית הדין, כשבכל מקום שנאמר "בית הדין" יבוא "אב בית הדין".</w:t>
      </w:r>
    </w:p>
    <w:p>
      <w:pPr>
        <w:bidi/>
        <w:spacing w:before="70" w:after="5" w:line="250" w:lineRule="auto"/>
        <w:jc w:val="center"/>
      </w:pPr>
      <w:defaultTabStop w:val="720"/>
      <w:r>
        <w:rPr>
          <w:lang w:bidi="he-IL"/>
          <w:rFonts w:hint="cs" w:cs="FrankRuehl"/>
          <w:szCs w:val="26"/>
          <w:b/>
          <w:bCs/>
          <w:rtl/>
        </w:rPr>
        <w:t xml:space="preserve">פרק ו':ערעור</w:t>
      </w:r>
      <w:bookmarkStart w:name="h45" w:id="45"/>
      <w:bookmarkEnd w:id="45"/>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 בערעור</w:t>
                </w:r>
              </w:p>
            </w:txbxContent>
          </v:textbox>
        </v:rect>
      </w:pict>
      <w:r>
        <w:rPr>
          <w:lang w:bidi="he-IL"/>
          <w:rFonts w:hint="cs" w:cs="FrankRuehl"/>
          <w:szCs w:val="34"/>
          <w:rtl/>
        </w:rPr>
        <w:t xml:space="preserve">37.</w:t>
      </w:r>
      <w:r>
        <w:rPr>
          <w:lang w:bidi="he-IL"/>
          <w:rFonts w:hint="cs" w:cs="FrankRuehl"/>
          <w:szCs w:val="26"/>
          <w:rtl/>
        </w:rPr>
        <w:tab/>
        <w:t xml:space="preserve">על ערעור לבית המשפט העליון לפי סעיף 39 לחוק יחולו בשינויים המחוייבים הוראות פרק י"ז לחלק ב' לתקנות סדר הדין, ואולם לעניין הגשת תשובה לערעור יקראו את תקנה 140(א)(1) לפרק האמור כאילו במקום "שישים ימים" נאמר בה "ארבעים וחמישה ימים".</w:t>
      </w:r>
    </w:p>
    <w:p>
      <w:pPr>
        <w:bidi/>
        <w:spacing w:before="70" w:after="5" w:line="250" w:lineRule="auto"/>
        <w:jc w:val="center"/>
      </w:pPr>
      <w:defaultTabStop w:val="720"/>
      <w:r>
        <w:rPr>
          <w:lang w:bidi="he-IL"/>
          <w:rFonts w:hint="cs" w:cs="FrankRuehl"/>
          <w:szCs w:val="26"/>
          <w:b/>
          <w:bCs/>
          <w:rtl/>
        </w:rPr>
        <w:t xml:space="preserve">פרק ז':שונות</w:t>
      </w:r>
      <w:bookmarkStart w:name="h47" w:id="47"/>
      <w:bookmarkEnd w:id="47"/>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38.</w:t>
      </w:r>
      <w:r>
        <w:rPr>
          <w:lang w:bidi="he-IL"/>
          <w:rFonts w:hint="cs" w:cs="FrankRuehl"/>
          <w:szCs w:val="26"/>
          <w:rtl/>
        </w:rPr>
        <w:tab/>
        <w:t xml:space="preserve">בטלות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תקנות ההגבלים העסקיים (סדרי הדין של המועצה), התש"ך-1960;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תקנות בתי המשפט (ערעורים בעניני הגבלים עסקיים), התש"ך-1960.</w:t>
      </w:r>
    </w:p>
    <w:p>
      <w:pPr>
        <w:bidi/>
        <w:spacing w:before="70" w:after="5" w:line="250" w:lineRule="auto"/>
        <w:jc w:val="center"/>
      </w:pPr>
      <w:defaultTabStop w:val="720"/>
      <w:bookmarkStart w:name="h49" w:id="49"/>
      <w:bookmarkEnd w:id="49"/>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2)
</w:t>
      </w:r>
      <w:hyperlink xmlns:r="http://schemas.openxmlformats.org/officeDocument/2006/relationships" w:history="true" r:id="Rd3da8c2f260441ad">
        <w:r>
          <w:rPr>
            <w:rStyle w:val="Hyperlink"/>
            <w:u w:val="single"/>
            <w:color w:themeColor="hyperlink"/>
          </w:rPr>
          <w:t>בקשה לאישור הסדר כובל</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אברהם שריר</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התחרות הכלכלית (סדרי דין בבית הדין ובערעור), תשמ"ט-1988,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bde716a9eb24d49" /><Relationship Type="http://schemas.openxmlformats.org/officeDocument/2006/relationships/hyperlink" Target="https://www.nevo.co.il/lawattachments/614db678a6e0afe96e963ed1/ea6ad924-4e5c-433b-92ab-6620071098f1.doc" TargetMode="External" Id="Rd3da8c2f260441ad" /><Relationship Type="http://schemas.openxmlformats.org/officeDocument/2006/relationships/header" Target="/word/header1.xml" Id="r97" /><Relationship Type="http://schemas.openxmlformats.org/officeDocument/2006/relationships/footer" Target="/word/footer1.xml" Id="r98" /></Relationships>
</file>