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5cfecc421d40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(הגשת תביעה לפיצויים והדיון בה),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 לפיצויים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התביעה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לסיום הדיון בועדה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(הגשת תביעה לפיצויים והדיון בה), תשל"א-1971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תשכ"ה-1965,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ועדה מקומית, לרבות ועדה מיוחדת שהוקמה לפי סעיף 34 לחוק, ועדה מחוזית המשתמשת בסמכויותיה לפי סעיף 12 לחוק וועדה משותפת שהוקמה לפי סעיף 37 לחוק ושניתנו לה סמכויות לפי סעיף 39 לחוק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מחוזית"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מקומית" – ועדה מקומית לתכנון ולבניה שהוקמה לפי סעיף 17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"שמאי מקרקעין" – כמשמעותו בחוק שמאי מקרקעין, 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התובע פיצויים לפי סעיף 197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 לפיצויים</w:t>
                </w:r>
              </w:p>
            </w:txbxContent>
          </v:textbox>
        </v:rect>
      </w:pict>
      <w:r>
        <w:rPr>
          <w:lang w:bidi="he-IL"/>
          <w:rFonts w:hint="cs" w:cs="FrankRuehl"/>
          <w:szCs w:val="34"/>
          <w:rtl/>
        </w:rPr>
        <w:t xml:space="preserve">2.</w:t>
      </w:r>
      <w:r>
        <w:rPr>
          <w:lang w:bidi="he-IL"/>
          <w:rFonts w:hint="cs" w:cs="FrankRuehl"/>
          <w:szCs w:val="26"/>
          <w:rtl/>
        </w:rPr>
        <w:tab/>
        <w:t xml:space="preserve">תובע יגיש תביעה לפיצויים בטופס שבתוספת למשרדי הועדה שבתחום מרחב התכנון שלה נערכה התכנית.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3.</w:t>
      </w:r>
      <w:r>
        <w:rPr>
          <w:lang w:bidi="he-IL"/>
          <w:rFonts w:hint="cs" w:cs="FrankRuehl"/>
          <w:szCs w:val="26"/>
          <w:rtl/>
        </w:rPr>
        <w:tab/>
        <w:t xml:space="preserve">תובע יצרף לטופס שבתוספת הערכה של שמאי מקרקעין, וכן ראיות לאימות העובדות המפורטות בטופס שבתוספת.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התביעה</w:t>
                </w:r>
              </w:p>
            </w:txbxContent>
          </v:textbox>
        </v:rect>
      </w:pict>
      <w:r>
        <w:rPr>
          <w:lang w:bidi="he-IL"/>
          <w:rFonts w:hint="cs" w:cs="FrankRuehl"/>
          <w:szCs w:val="34"/>
          <w:rtl/>
        </w:rPr>
        <w:t xml:space="preserve">4.</w:t>
      </w:r>
      <w:r>
        <w:rPr>
          <w:lang w:bidi="he-IL"/>
          <w:rFonts w:hint="cs" w:cs="FrankRuehl"/>
          <w:szCs w:val="26"/>
          <w:rtl/>
        </w:rPr>
        <w:tab/>
        <w:t xml:space="preserve">הועדה תאשר את קבלת התביעה בספח לטופס שבתוספת.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לסיום הדיון בועדה</w:t>
                </w:r>
              </w:p>
            </w:txbxContent>
          </v:textbox>
        </v:rect>
      </w:pict>
      <w:r>
        <w:rPr>
          <w:lang w:bidi="he-IL"/>
          <w:rFonts w:hint="cs" w:cs="FrankRuehl"/>
          <w:szCs w:val="34"/>
          <w:rtl/>
        </w:rPr>
        <w:t xml:space="preserve">5.</w:t>
      </w:r>
      <w:r>
        <w:rPr>
          <w:lang w:bidi="he-IL"/>
          <w:rFonts w:hint="cs" w:cs="FrankRuehl"/>
          <w:szCs w:val="26"/>
          <w:rtl/>
        </w:rPr>
        <w:tab/>
        <w:t xml:space="preserve">הועדה תסיים את הדיון בתביעה לפיצויים תוך תשעים ימים מיום קבלתה.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לתקנות אלה ייקרא "תקנות התכנון והבניה (הגשת תביעה לפיצויים והדיון בה), תשל"א-1971".</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 ו-4)</w:t>
      </w:r>
    </w:p>
    <w:p>
      <w:pPr>
        <w:bidi/>
        <w:spacing w:before="45" w:after="5" w:line="250" w:lineRule="auto"/>
        <w:jc w:val="center"/>
      </w:pPr>
      <w:defaultTabStop w:val="720"/>
      <w:r>
        <w:rPr>
          <w:lang w:bidi="he-IL"/>
          <w:rFonts w:hint="cs" w:cs="FrankRuehl"/>
          <w:szCs w:val="26"/>
          <w:rtl/>
        </w:rPr>
        <w:t xml:space="preserve">טופס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656d336c7a242e7">
        <w:r>
          <w:rPr>
            <w:rStyle w:val="Hyperlink"/>
            <w:u w:val="single"/>
            <w:color w:themeColor="hyperlink"/>
          </w:rPr>
          <w:t>בקשה לתביעת פיצויים לפי פרק ט' לחוק</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(הגשת תביעה לפיצויים והדיון בה),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40132ce0d94257" /><Relationship Type="http://schemas.openxmlformats.org/officeDocument/2006/relationships/hyperlink" Target="https://www.nevo.co.il/lawattachments/62662d579bd2190c7cbf48b4/a0e35e62-8452-4d9a-b5a4-e9dd5ab71965.doc" TargetMode="External" Id="Rd656d336c7a242e7" /><Relationship Type="http://schemas.openxmlformats.org/officeDocument/2006/relationships/header" Target="/word/header1.xml" Id="r97" /><Relationship Type="http://schemas.openxmlformats.org/officeDocument/2006/relationships/footer" Target="/word/footer1.xml" Id="r98" /></Relationships>
</file>