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dda8f5b60ef4a6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חופשה שנתית (דרך אחרת לתשלום תמורת חופשה), תשל"א-1971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תמורת חופשה למדור התשלומים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חופשה שנתית (דרך אחרת לתשלום תמורת חופשה), תשל"א-1971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15 ו-37 לחוק חופשה שנתית, תשי"א-1951,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תמורת חופשה למדור התשלומים</w:t>
                </w:r>
              </w:p>
            </w:txbxContent>
          </v:textbox>
        </v:rect>
      </w:pict>
      <w:r>
        <w:rPr>
          <w:lang w:bidi="he-IL"/>
          <w:rFonts w:hint="cs" w:cs="FrankRuehl"/>
          <w:szCs w:val="34"/>
          <w:rtl/>
        </w:rPr>
        <w:t xml:space="preserve">1.</w:t>
      </w:r>
      <w:r>
        <w:rPr>
          <w:lang w:bidi="he-IL"/>
          <w:rFonts w:hint="cs" w:cs="FrankRuehl"/>
          <w:szCs w:val="26"/>
          <w:rtl/>
        </w:rPr>
        <w:tab/>
        <w:t xml:space="preserve">תמורת החופשה של עובד ששכרו משתלם באמצעות מדור התשלומים שעל יד שירות התעסוקה, תשולם על ידי מעבידו למדור התשלומים האמור, אלא אם הורה שר העבודה בכתב למדור התשלומים שתמורת החופשה של עובד או של סוג של עובדים תשולם לקרן חופשה.</w:t>
      </w:r>
    </w:p>
    <w:p>
      <w:pPr>
        <w:bidi/>
        <w:spacing w:before="45" w:after="50" w:line="250" w:lineRule="auto"/>
        <w:ind/>
        <w:jc w:val="both"/>
        <w:tabs>
          <w:tab w:pos="720"/>
          <w:tab w:pos="1440"/>
          <w:tab w:pos="2160"/>
          <w:tab w:pos="2880"/>
          <w:tab w:pos="3600"/>
        </w:tabs>
        <w:ind w:start="720" w:hanging="720"/>
      </w:pPr>
      <w:defaultTabStop w:val="720"/>
      <w:bookmarkStart w:name="h2" w:id="2"/>
      <w:bookmarkEnd w:id="2"/>
      <w:r>
        <w:rPr>
          <w:lang w:bidi="he-IL"/>
          <w:rFonts w:hint="cs" w:cs="FrankRuehl"/>
          <w:szCs w:val="34"/>
          <w:rtl/>
        </w:rPr>
        <w:t xml:space="preserve">2.</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3.</w:t>
      </w:r>
      <w:r>
        <w:rPr>
          <w:lang w:bidi="he-IL"/>
          <w:rFonts w:hint="cs" w:cs="FrankRuehl"/>
          <w:szCs w:val="26"/>
          <w:rtl/>
        </w:rPr>
        <w:tab/>
        <w:t xml:space="preserve">לתקנות אלה ייקרא "תקנות חופשה שנתית (דרך אחרת לתשלום תמורת חופשה), תשל"א-1971".</w:t>
      </w:r>
    </w:p>
    <w:p>
      <w:pPr>
        <w:bidi/>
        <w:spacing w:before="70" w:after="5" w:line="250" w:lineRule="auto"/>
        <w:jc w:val="center"/>
      </w:pPr>
      <w:defaultTabStop w:val="720"/>
      <w:bookmarkStart w:name="h4" w:id="4"/>
      <w:bookmarkEnd w:id="4"/>
    </w:p>
    <w:p>
      <w:pPr>
        <w:bidi/>
        <w:spacing w:before="70" w:after="5" w:line="250" w:lineRule="auto"/>
        <w:jc w:val="center"/>
      </w:pPr>
      <w:defaultTabStop w:val="720"/>
      <w:r>
        <w:rPr>
          <w:lang w:bidi="he-IL"/>
          <w:rFonts w:hint="cs" w:cs="FrankRuehl"/>
          <w:szCs w:val="26"/>
          <w:b/>
          <w:bCs/>
          <w:rtl/>
        </w:rPr>
        <w:t xml:space="preserve">תוספת</w:t>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חופשה שנתית (דרך אחרת לתשלום תמורת חופשה), תשל"א-1971,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d44be4c8751487b" /><Relationship Type="http://schemas.openxmlformats.org/officeDocument/2006/relationships/header" Target="/word/header1.xml" Id="r97" /><Relationship Type="http://schemas.openxmlformats.org/officeDocument/2006/relationships/footer" Target="/word/footer1.xml" Id="r98" /></Relationships>
</file>