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9c94482d57a4a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דין שרעיים),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ב':פתיחת הליך</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לדיון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למשיב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ג':מהלך הדיון ומתן הצו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מסמכים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להארכת צו והדיון בה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ד':בקשות בקשר להחזקה או נשיאה של נשק</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נשיאת נשק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איסור נשיאת נשק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תנאים והסדרים לנשיאת נשק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דיון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לדיון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ה':הפרת צו הגנה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הגנה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בקשה בשל הפרת צו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סדרי הדין של בתי הדין השרעיים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bl>
        <w:br w:type="page"/>
      </w:r>
    </w:p>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דין שרעיים),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13(ב) לחוק למניעת אלימות במשפחה, התשנ"א-1991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שרעי;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למתן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"מוגן" – מי שלטובתו מבוקש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האדם שמפניו מתבקש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שם האב ושם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וסוג התעודה שממנה נרשם המספר, אם הדבר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הקבוע.</w:t>
      </w:r>
    </w:p>
    <w:p>
      <w:pPr>
        <w:bidi/>
        <w:spacing w:before="70" w:after="5" w:line="250" w:lineRule="auto"/>
        <w:jc w:val="center"/>
      </w:pPr>
      <w:defaultTabStop w:val="720"/>
      <w:r>
        <w:rPr>
          <w:lang w:bidi="he-IL"/>
          <w:rFonts w:hint="cs" w:cs="FrankRuehl"/>
          <w:szCs w:val="26"/>
          <w:b/>
          <w:bCs/>
          <w:rtl/>
        </w:rPr>
        <w:t xml:space="preserve">פרק ב':פתיחת הליך</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לפי פרק זה תהיה ערוכה לפי טופס 1 שבתוספת; בקשה זו וכל בקשה אחרת לפי תקנות אלה יוגשו בכתב, בעותק אחד, לבית הדין שבאזור שיפוטו מצוי מקום המגורים הקבוע של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בנסיבות מיוחדות ולפי שיקול דעתו, לדון בבקשה שהוגשה, אף שלא באזור השיפוט שבו מצוי מקום המגורים של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הגנה בבית הדין שמקום המגורים של המוגן אינו נמצא באזור שיפוטו, יורה בית הדין על העברת העניין לבית הדין שבאזור שיפוטו נמצא מקום המגורים של המוגן, אלא אם כן ראה שלא להורות כן מטעמים שיירשמו; הורה בית הדין על העברת העניין – כל בקשה שלפי תקנות אלה יש להגיש לבית הדין שנתן את צו ההגנה, תוגש לבית הדין שהועבר אליו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3.</w:t>
      </w:r>
      <w:r>
        <w:rPr>
          <w:lang w:bidi="he-IL"/>
          <w:rFonts w:hint="cs" w:cs="FrankRuehl"/>
          <w:szCs w:val="26"/>
          <w:rtl/>
        </w:rPr>
        <w:tab/>
        <w:t xml:space="preserve">הוגשה הבקשה בידי בן משפחה, יצורף כתב ערובה חתום בידו, ערוך לפי טופס 2 שבתוספת, לשם פיצוי המשיב על כל נזק שייגרם לו מהוצאת צו ההגנה, כפי שיראה בית הדין לנכון, אם יקבע בית הדין כי הבקשה קנטרנית.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לדיון</w:t>
                </w:r>
              </w:p>
            </w:txbxContent>
          </v:textbox>
        </v:rect>
      </w:pict>
      <w:r>
        <w:rPr>
          <w:lang w:bidi="he-IL"/>
          <w:rFonts w:hint="cs" w:cs="FrankRuehl"/>
          <w:szCs w:val="34"/>
          <w:rtl/>
        </w:rPr>
        <w:t xml:space="preserve">4.</w:t>
      </w:r>
      <w:r>
        <w:rPr>
          <w:lang w:bidi="he-IL"/>
          <w:rFonts w:hint="cs" w:cs="FrankRuehl"/>
          <w:szCs w:val="26"/>
          <w:rtl/>
        </w:rPr>
        <w:tab/>
        <w:t xml:space="preserve">בסמוך להגשת הבקשה היא תובא לפני קאדי שיחליט מה יהיה המועד לדיון בה, מוקדם ככל האפשר ולא יאוחר משבעה ימים מיום הגשת הבקשה, ואם ניתן צו הגנה במעמד צד אחד כאמור בסעיף 4(א) לחוק – לא יאוחר משבעה ימים מיום מתן הצו.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למשיב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בקשה והוחלט על מועד דיון כאמור בתקנה 4, תומצא למשיב הודעה ערוכה לפי טופס 3 שבתוספת ובה יפורט המועד הקבוע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במעמד צד אחד לפי סעיף 4(א) לחוק, יומצא העתק הצו יחד עם הבקשה ונספחיה, בצירוף הודעה כאמור בתקנת משנה (א).</w:t>
      </w:r>
    </w:p>
    <w:p>
      <w:pPr>
        <w:bidi/>
        <w:spacing w:before="70" w:after="5" w:line="250" w:lineRule="auto"/>
        <w:jc w:val="center"/>
      </w:pPr>
      <w:defaultTabStop w:val="720"/>
      <w:r>
        <w:rPr>
          <w:lang w:bidi="he-IL"/>
          <w:rFonts w:hint="cs" w:cs="FrankRuehl"/>
          <w:szCs w:val="26"/>
          <w:b/>
          <w:bCs/>
          <w:rtl/>
        </w:rPr>
        <w:t xml:space="preserve">פרק ג':מהלך הדיון ומתן הצו</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התייצב המבקש לאחר שנמסרה לו הודעה על מועד הדיון, רשאי בית הדין למחוק את הבקשה או לדחותה ולחייב את המבקש בהוצאות כפי שיראה לנכון, אלא אם כן נמנע מן המבקש להופיע מסיבות שאינן 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איש מבעלי הדין, רשאי בית הדין לדחות את הדיון למועד אחר או למחוק את הבקשה או לדחותה, ולפסוק הוצאות לטובת המדינה כאמור בסעיף 11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המשיב, רשאי בית הדין לתת צו הגנה, להאריך את תוקפו של הצו, לבטלו או להכניס בו שינויים, לפי סעיף 4 לחוק.</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מסמכים</w:t>
                </w:r>
              </w:p>
            </w:txbxContent>
          </v:textbox>
        </v:rect>
      </w:pict>
      <w:r>
        <w:rPr>
          <w:lang w:bidi="he-IL"/>
          <w:rFonts w:hint="cs" w:cs="FrankRuehl"/>
          <w:szCs w:val="34"/>
          <w:rtl/>
        </w:rPr>
        <w:t xml:space="preserve">7.</w:t>
      </w:r>
      <w:r>
        <w:rPr>
          <w:lang w:bidi="he-IL"/>
          <w:rFonts w:hint="cs" w:cs="FrankRuehl"/>
          <w:szCs w:val="26"/>
          <w:rtl/>
        </w:rPr>
        <w:tab/>
        <w:t xml:space="preserve">במועד הדיון, רשאי בית הדין להורות למבקש להציג מסמכים התומכים בבקשתו.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צו הגנה יהיה ערוך לפי טופס 4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לפי סעיף 2ו לחוק, תימסר ערוכה לפי טופס 5 שבתוספת.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להארכת צו והדיון בה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נתן בית הדין צו הגנה לתקופה קצרה מהתקופה המרבית הכוללת הקבועה בסעיף 5 לחוק, רשאי המבקש להגיש לבית הדין שנתן את הצו, בקשה להארכת תוקפו (להלן בתקנה זו – בקשת הארכה) ערוכה לפי טופס 6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בקשת ההארכה עד שבעה ימים לפני מועד פקיעת צו ההגנה, ידון בית הדין בבקשת ההארכה ויחליט בה לפני מועד פקיעתו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דיון בבקשת ההארכה תישלח למשיב לפי 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6 תחול, בשינויים המחויבים, לעניין התייצבות בעלי הדין לדיון בבקשת ההארכה.</w:t>
      </w:r>
    </w:p>
    <w:p>
      <w:pPr>
        <w:bidi/>
        <w:spacing w:before="70" w:after="5" w:line="250" w:lineRule="auto"/>
        <w:jc w:val="center"/>
      </w:pPr>
      <w:defaultTabStop w:val="720"/>
      <w:r>
        <w:rPr>
          <w:lang w:bidi="he-IL"/>
          <w:rFonts w:hint="cs" w:cs="FrankRuehl"/>
          <w:szCs w:val="26"/>
          <w:b/>
          <w:bCs/>
          <w:rtl/>
        </w:rPr>
        <w:t xml:space="preserve">פרק ד':בקשות בקשר להחזקה או נשיאה של נשק</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10.</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שדן בבקשה למתן צו הגנה או שנתן את צו ההגנה,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המחויב בצו הגנה, למעט לעניין תקנה 11(ג) ותקנה 12(ב);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מי שלטובתו ניתן צו הגנה.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נשיאת נשק</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מחויב בצו הגנה, המבקש להתיר לו המשך החזקה או נשיאה של נשק לפי סעיף 2ג(א) לחוק, יגיש לבית הדין בקשה בטופס 8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טען המבקש כי התקיימו בעניינו הוראות סעיף 2ג(א)(2)(ב) או (3) לחוק, יצרף לבקשתו גם בקשה מנומקת בכתב מאת הממונה עליו, כמשמעותו באותן פסקאות, לפי העניין (להלן בתקנה זו – הממונה); בקשת הממונה תוגש כשהיא ערוכה לפי טופס 9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בקשת מפקד יחידה כאמור בסעיף 2ג(ב) לחוק, תוגש לבית הדין ערוכה לפי טופס 10 שבתוספת.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איסור נשיאת נשק</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בקשת המחויב בצו הגנה לביטול איסור נשיאה או החזקה של נשק, לפי סעיף 5(ב) לחוק, תוגש לבית הדין ערוכה לפי טופס 11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לביטול איסור נשיאה או החזקה של נשק לפי סעיף 5(ב) לחוק, שמגיש מפקד יחידה כמשמעותו באותו סעיף, תוגש לבית הדין ערוכה לפי טופס 12 שבתוספת.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תנאים והסדרים לנשיאת נשק</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בקשת המחויב בצו לביטול תנאים והסדרים שבהם הותרו נשיאה או החזקה של נשק לפי סעיף 5(ג) לחוק, תוגש לבית הדין ערוכה לפי טופס 13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שמגיש מפקד יחידה כמשמעותו באותו סעיף, תוגש לבית הדין ערוכה לפי טופס 14 שבתוספת.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דיון</w:t>
                </w:r>
              </w:p>
            </w:txbxContent>
          </v:textbox>
        </v:rect>
      </w:pict>
      <w:r>
        <w:rPr>
          <w:lang w:bidi="he-IL"/>
          <w:rFonts w:hint="cs" w:cs="FrankRuehl"/>
          <w:szCs w:val="34"/>
          <w:rtl/>
        </w:rPr>
        <w:t xml:space="preserve">14.</w:t>
      </w:r>
      <w:r>
        <w:rPr>
          <w:lang w:bidi="he-IL"/>
          <w:rFonts w:hint="cs" w:cs="FrankRuehl"/>
          <w:szCs w:val="26"/>
          <w:rtl/>
        </w:rPr>
        <w:tab/>
        <w:t xml:space="preserve">הודעה על דיון בבקשה לפי פרק זה תהיה ערוכה לפי טופס 15 שבתוספת, ותומצא למבקש ולמשיב, וכן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בבקשה לפי סעיף 2ג(א)(2) או (3) לחוק – גם לממונה על המבקש, לפי העניין, כמשמעותו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בבקשה לפי סעיפים 2ג(ב) ו-5(ב) או (ג) לחוק, שמגיש מפקד היחידה, כמשמעותו באותם סעיפים – גם למפקד היחידה.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לדיון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תקנה 6(א) ו-(ב) תחול, בשינויים המחויבים, גם על התייצבות בעלי הדין והמצהירים לדיון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זומן המשיב לדיון כדין ולא הופיע, רשאי בית הדין לדחות את הדיון למועד אחר או לדון בבקשה; לצורך החלטתו ישקול בית הדין את דחיפות הבקשה והחשיבות שבנוכחות המשיב בנסיבות העניין.</w:t>
      </w:r>
    </w:p>
    <w:p>
      <w:pPr>
        <w:bidi/>
        <w:spacing w:before="70" w:after="5" w:line="250" w:lineRule="auto"/>
        <w:jc w:val="center"/>
      </w:pPr>
      <w:defaultTabStop w:val="720"/>
      <w:r>
        <w:rPr>
          <w:lang w:bidi="he-IL"/>
          <w:rFonts w:hint="cs" w:cs="FrankRuehl"/>
          <w:szCs w:val="26"/>
          <w:b/>
          <w:bCs/>
          <w:rtl/>
        </w:rPr>
        <w:t xml:space="preserve">פרק ה':הפרת צו הגנה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הגנה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בקשה בשל הפרת צו הגנה (בפרק זה – בקשה בשל הפרה) תוגש כשהיא ערוכה לפי טופס 16 שבתוספת; בקשה בשל הפרה תוגש לבית הדין שנתן את הצו, אלא אם כן הועבר התיק, לפי תקנה 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4 בעניין מועד הדיון תחול בשינויים המחויבים; והודעה על דיון בבקשה בשל הפרה תומצא למשיב ערוכה לפי טופס 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6 תחול, בשינויים המחויבים, לעניין התייצבות בעלי הדין לדיון בבקשה בשל הפרה.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בקשה בשל הפרת צו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בקשה בשל הפרה כאמור בתקנה 16(א) תוגש בתוך שבעה ימים מיום הפרת צו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למשטרה בשל הפרת צו הגנה הכולל איסור לפי סעיף 2(א)(1) לחוק, תוגש הבקשה בתוך ארבעים ושמונה שעות מזמן הגשת התלונה, אלא אם כן נמנע מהמבקש להגישה בשל סיבות שאינן תלויות בו; במניין השעות לא יבואו בחשבון שבתות וחגים.</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סדרי הדין של בתי הדין השרעיים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בכל עניין של סדר דין הנוגע לצו הגנה, שאין עליו הוראה אחרת בתקנות אלה, יחולו סדרי הדין הנהוגים בבית הדין, בשינוים המחויבים לפי 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גם על הליך ערעור שהוגש על החלטה של בית הדין.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תחילתן של תקנות אלה 60 ימים מיום פרסומן.</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(לפי תקנות 2, 3, 5, 8, 9, 11, 12, 13, 14 ו-16)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2ebab2590d5e4d4e">
        <w:r>
          <w:rPr>
            <w:rStyle w:val="Hyperlink"/>
            <w:u w:val="single"/>
            <w:color w:themeColor="hyperlink"/>
          </w:rPr>
          <w:t>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
</w:t>
      </w:r>
      <w:hyperlink xmlns:r="http://schemas.openxmlformats.org/officeDocument/2006/relationships" w:history="true" r:id="R13095334ffa0428f">
        <w:r>
          <w:rPr>
            <w:rStyle w:val="Hyperlink"/>
            <w:u w:val="single"/>
            <w:color w:themeColor="hyperlink"/>
          </w:rPr>
          <w:t>כתב ערובה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77a5e7309ef474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55b49cf17184b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0181d9fb3b742f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9(א))
</w:t>
      </w:r>
      <w:hyperlink xmlns:r="http://schemas.openxmlformats.org/officeDocument/2006/relationships" w:history="true" r:id="Raddf07af01fc41cc">
        <w:r>
          <w:rPr>
            <w:rStyle w:val="Hyperlink"/>
            <w:u w:val="single"/>
            <w:color w:themeColor="hyperlink"/>
          </w:rPr>
          <w:t>בקשה להארכת תוקפו של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11(א))
</w:t>
      </w:r>
      <w:hyperlink xmlns:r="http://schemas.openxmlformats.org/officeDocument/2006/relationships" w:history="true" r:id="Rdd13f16c85cd4559">
        <w:r>
          <w:rPr>
            <w:rStyle w:val="Hyperlink"/>
            <w:u w:val="single"/>
            <w:color w:themeColor="hyperlink"/>
          </w:rPr>
          <w:t>בקשה להתיר המשך החזקה או נשיאת נשק למחויב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11(ב))
</w:t>
      </w:r>
      <w:hyperlink xmlns:r="http://schemas.openxmlformats.org/officeDocument/2006/relationships" w:history="true" r:id="Rcc7ababe81b7452c">
        <w:r>
          <w:rPr>
            <w:rStyle w:val="Hyperlink"/>
            <w:u w:val="single"/>
            <w:color w:themeColor="hyperlink"/>
          </w:rPr>
          <w:t>בקשת ממונה להתיר החזקה או נשיאה של נשק על ידי 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11(ג))
</w:t>
      </w:r>
      <w:hyperlink xmlns:r="http://schemas.openxmlformats.org/officeDocument/2006/relationships" w:history="true" r:id="R6ba94ed5ba894030">
        <w:r>
          <w:rPr>
            <w:rStyle w:val="Hyperlink"/>
            <w:u w:val="single"/>
            <w:color w:themeColor="hyperlink"/>
          </w:rPr>
          <w:t>בקשת מפקד יחידה&amp;nbsp;בצבא ההגנה לישראל להתיר למחויב בצו להחזיק או לשאת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12(א))
</w:t>
      </w:r>
      <w:hyperlink xmlns:r="http://schemas.openxmlformats.org/officeDocument/2006/relationships" w:history="true" r:id="R5c015930d47a44f1">
        <w:r>
          <w:rPr>
            <w:rStyle w:val="Hyperlink"/>
            <w:u w:val="single"/>
            <w:color w:themeColor="hyperlink"/>
          </w:rPr>
          <w:t>בקשת מחויב בצו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12(ב))
</w:t>
      </w:r>
      <w:hyperlink xmlns:r="http://schemas.openxmlformats.org/officeDocument/2006/relationships" w:history="true" r:id="R8f8ec728668f4327">
        <w:r>
          <w:rPr>
            <w:rStyle w:val="Hyperlink"/>
            <w:u w:val="single"/>
            <w:color w:themeColor="hyperlink"/>
          </w:rPr>
          <w:t>בקשת מפקד יחידה בצבא ההגנה לישראל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13(א))
</w:t>
      </w:r>
      <w:hyperlink xmlns:r="http://schemas.openxmlformats.org/officeDocument/2006/relationships" w:history="true" r:id="R07b1bc1342a74bb1">
        <w:r>
          <w:rPr>
            <w:rStyle w:val="Hyperlink"/>
            <w:u w:val="single"/>
            <w:color w:themeColor="hyperlink"/>
          </w:rPr>
          <w:t>בקשת מחויב בצו לביטול תנאים / הסדרים להחזקה או נשיאת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13(ב))
</w:t>
      </w:r>
      <w:hyperlink xmlns:r="http://schemas.openxmlformats.org/officeDocument/2006/relationships" w:history="true" r:id="R8e893424980042f5">
        <w:r>
          <w:rPr>
            <w:rStyle w:val="Hyperlink"/>
            <w:u w:val="single"/>
            <w:color w:themeColor="hyperlink"/>
          </w:rPr>
          <w:t>בקשת מפקד יחידה לביטול תנאים / הסדרים להחזקה או נשיאת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f51ea99b80f446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16
(תקנה 16(א))
</w:t>
      </w:r>
      <w:hyperlink xmlns:r="http://schemas.openxmlformats.org/officeDocument/2006/relationships" w:history="true" r:id="Rd2b98027eb6c44d8">
        <w:r>
          <w:rPr>
            <w:rStyle w:val="Hyperlink"/>
            <w:u w:val="single"/>
            <w:color w:themeColor="hyperlink"/>
          </w:rPr>
          <w:t>בקשה בשל הפרת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37a4635b138455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אלימות במשפחה (סדרי דין בבתי דין שרעיים),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8ed699faeaa4b48" /><Relationship Type="http://schemas.openxmlformats.org/officeDocument/2006/relationships/hyperlink" Target="https://www.nevo.co.il/lawattachments/6179074a281b2b23aac6a6e8/39b38131-5284-4b11-81e4-27ddac9021fe.doc" TargetMode="External" Id="R2ebab2590d5e4d4e" /><Relationship Type="http://schemas.openxmlformats.org/officeDocument/2006/relationships/hyperlink" Target="https://www.nevo.co.il/lawattachments/6179074a281b2b23aac6a6e8/f2d504cc-4686-4b90-9dca-2c63839897d7.doc" TargetMode="External" Id="R13095334ffa0428f" /><Relationship Type="http://schemas.openxmlformats.org/officeDocument/2006/relationships/hyperlink" Target="https://www.nevo.co.il/laws/#/6179074a281b2b23aac6a6e8/clause/61791c4d281b2b23aac6a8b0" TargetMode="External" Id="R577a5e7309ef4744" /><Relationship Type="http://schemas.openxmlformats.org/officeDocument/2006/relationships/hyperlink" Target="https://www.nevo.co.il/laws/#/6179074a281b2b23aac6a6e8/clause/617920aa281b2b23aac6a948" TargetMode="External" Id="R355b49cf17184bc8" /><Relationship Type="http://schemas.openxmlformats.org/officeDocument/2006/relationships/hyperlink" Target="https://www.nevo.co.il/laws/#/6179074a281b2b23aac6a6e8/clause/6179224a281b2b23aac6a97a" TargetMode="External" Id="R90181d9fb3b742f2" /><Relationship Type="http://schemas.openxmlformats.org/officeDocument/2006/relationships/hyperlink" Target="https://www.nevo.co.il/lawattachments/6179074a281b2b23aac6a6e8/f6935aef-1b46-4180-90a5-483483d8fead.doc" TargetMode="External" Id="Raddf07af01fc41cc" /><Relationship Type="http://schemas.openxmlformats.org/officeDocument/2006/relationships/hyperlink" Target="https://www.nevo.co.il/lawattachments/6179074a281b2b23aac6a6e8/ec3941f7-4745-4591-8ce0-4613ca043595.doc" TargetMode="External" Id="Rdd13f16c85cd4559" /><Relationship Type="http://schemas.openxmlformats.org/officeDocument/2006/relationships/hyperlink" Target="https://www.nevo.co.il/lawattachments/6179074a281b2b23aac6a6e8/14680b47-9d61-4cac-8347-48c634013947.doc" TargetMode="External" Id="Rcc7ababe81b7452c" /><Relationship Type="http://schemas.openxmlformats.org/officeDocument/2006/relationships/hyperlink" Target="https://www.nevo.co.il/lawattachments/6179074a281b2b23aac6a6e8/ad1abe69-60e0-4048-9ff9-09e24409e55e.doc" TargetMode="External" Id="R6ba94ed5ba894030" /><Relationship Type="http://schemas.openxmlformats.org/officeDocument/2006/relationships/hyperlink" Target="https://www.nevo.co.il/lawattachments/6179074a281b2b23aac6a6e8/90f92641-4d92-4a39-94e2-0a27151e50db.doc" TargetMode="External" Id="R5c015930d47a44f1" /><Relationship Type="http://schemas.openxmlformats.org/officeDocument/2006/relationships/hyperlink" Target="https://www.nevo.co.il/lawattachments/6179074a281b2b23aac6a6e8/db700304-152a-47f9-8da9-59d2bccfd0a8.doc" TargetMode="External" Id="R8f8ec728668f4327" /><Relationship Type="http://schemas.openxmlformats.org/officeDocument/2006/relationships/hyperlink" Target="https://www.nevo.co.il/lawattachments/6179074a281b2b23aac6a6e8/fb2033e7-8a15-4574-ab9a-56e2132ba840.doc" TargetMode="External" Id="R07b1bc1342a74bb1" /><Relationship Type="http://schemas.openxmlformats.org/officeDocument/2006/relationships/hyperlink" Target="https://www.nevo.co.il/lawattachments/6179074a281b2b23aac6a6e8/30fd76ca-6b5c-432c-a318-871024a20125.doc" TargetMode="External" Id="R8e893424980042f5" /><Relationship Type="http://schemas.openxmlformats.org/officeDocument/2006/relationships/hyperlink" Target="https://www.nevo.co.il/laws/#/6179074a281b2b23aac6a6e8/clause/61794569281b2b23aac6abef" TargetMode="External" Id="Rdf51ea99b80f4467" /><Relationship Type="http://schemas.openxmlformats.org/officeDocument/2006/relationships/hyperlink" Target="https://www.nevo.co.il/lawattachments/6179074a281b2b23aac6a6e8/99ba37a6-04f9-464b-9176-8b3ee9cfe258.doc" TargetMode="External" Id="Rd2b98027eb6c44d8" /><Relationship Type="http://schemas.openxmlformats.org/officeDocument/2006/relationships/hyperlink" Target="https://www.nevo.co.il/laws/#/6179074a281b2b23aac6a6e8/clause/61794750281b2b23aac6ac3b" TargetMode="External" Id="R637a4635b1384558" /><Relationship Type="http://schemas.openxmlformats.org/officeDocument/2006/relationships/header" Target="/word/header1.xml" Id="r97" /><Relationship Type="http://schemas.openxmlformats.org/officeDocument/2006/relationships/footer" Target="/word/footer1.xml" Id="r98" /></Relationships>
</file>