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62bf3abe6de4c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אלימות במשפחה (סדרי דין בבתי הדין הדתיים הדרוזיים),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ב':פתיחת ההליך</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לדיון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למשיב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ג':מהלך הדיון ומתן הצו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להארכת צו והדיון בה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ד':בקשות בקשר להחזקה או נשיאה של נשק</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נשיאת נשק</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איסור נשיאת נשק</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תנאים והסדרים לנשיאת נשק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דיון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לדיון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ה':הפרת צו הגנה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 הגנה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בקשה בשל הפרת צו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כתבי בי-דין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סדרי הדין של בתי הדין הדתיים הדרוזיים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bl>
        <w:br w:type="page"/>
      </w:r>
    </w:p>
    <w:p>
      <w:pPr>
        <w:bidi/>
        <w:spacing w:before="45" w:after="70" w:line="250" w:lineRule="auto"/>
        <w:jc w:val="center"/>
      </w:pPr>
      <w:defaultTabStop w:val="720"/>
      <w:r>
        <w:rPr>
          <w:lang w:bidi="he-IL"/>
          <w:rFonts w:hint="cs" w:cs="FrankRuehl"/>
          <w:szCs w:val="32"/>
          <w:rtl/>
        </w:rPr>
        <w:t xml:space="preserve">תקנות למניעת אלימות במשפחה (סדרי דין בבתי הדין הדתיים הדרוזיים),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13(ב) לחוק למניעת אלימות במשפחה, התשנ"א-1991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דתי דרוזי;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למתן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"מוגן" – מי שלטובתו מבוקש הצו;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האדם שמפניו מתבקש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שם האב ושם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וסוג התעודה שממנה נרשם המספר, אם הדבר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המען הקבוע.</w:t>
      </w:r>
    </w:p>
    <w:p>
      <w:pPr>
        <w:bidi/>
        <w:spacing w:before="70" w:after="5" w:line="250" w:lineRule="auto"/>
        <w:jc w:val="center"/>
      </w:pPr>
      <w:defaultTabStop w:val="720"/>
      <w:r>
        <w:rPr>
          <w:lang w:bidi="he-IL"/>
          <w:rFonts w:hint="cs" w:cs="FrankRuehl"/>
          <w:szCs w:val="26"/>
          <w:b/>
          <w:bCs/>
          <w:rtl/>
        </w:rPr>
        <w:t xml:space="preserve">פרק ב':פתיחת ההליך</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תוגש בכתב לבית הדין שבאזור שיפוטו מצוי מקום המגורים של המוגן, ערוכה לפי טופס 1 שבתוספת, ויצורף לה תצהיר מטעם המבקש או מאת יודע הפרטים הקשורים לבקשה, ערוך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בנסיבות מיוחדות לפי שיקול דעתו, לדון בבקשה שהוגשה אף שלא באזור השיפוט שבו מצוי מקום המגורים של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למתן צו במעמד צד אחד תוגש כשהיא ערוכה לפי טופס 3 שבתוספת, בצירוף תצהיר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צו הגנה בבית הדין שמקום המגורים של המוגן אינו נמצא באזור שיפוטו, יורה בית הדין על העברת העניין לבית הדין שבאזור שיפוטו נמצא מקום המגורים של המוגן, אלא אם כן ראה שלא להורות כן מטעמים שיירשמו; הורה בית הדין על העברת העניין – כל בקשה שלפי תקנות אלה יש להגיש לבית הדין שנתן את צו ההגנה, תוגש לבית הדין שהועבר אליו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3.</w:t>
      </w:r>
      <w:r>
        <w:rPr>
          <w:lang w:bidi="he-IL"/>
          <w:rFonts w:hint="cs" w:cs="FrankRuehl"/>
          <w:szCs w:val="26"/>
          <w:rtl/>
        </w:rPr>
        <w:tab/>
        <w:t xml:space="preserve">הוגשה הבקשה בידי בן משפחה, יצורף כתב ערובה חתום בידו, ערוך לפי טופס 4 שבתוספת, לשם פיצוי המשיב על כל נזק שייגרם לו מהוצאת צו ההגנה, כפי שיראה בית הדין לנכון, אם יקבע בית הדין כי הבקשה קנטרנית.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לדיון</w:t>
                </w:r>
              </w:p>
            </w:txbxContent>
          </v:textbox>
        </v:rect>
      </w:pict>
      <w:r>
        <w:rPr>
          <w:lang w:bidi="he-IL"/>
          <w:rFonts w:hint="cs" w:cs="FrankRuehl"/>
          <w:szCs w:val="34"/>
          <w:rtl/>
        </w:rPr>
        <w:t xml:space="preserve">4.</w:t>
      </w:r>
      <w:r>
        <w:rPr>
          <w:lang w:bidi="he-IL"/>
          <w:rFonts w:hint="cs" w:cs="FrankRuehl"/>
          <w:szCs w:val="26"/>
          <w:rtl/>
        </w:rPr>
        <w:tab/>
        <w:t xml:space="preserve">במעמד הגשת הבקשה ייקבע המועד לדיון בה, מוקדם ככל האפשר ולא יאוחר משבעה ימים מיום הגשת הבקשה, ואם ניתן צו הגנה במעמד צד אחד כאמור בסעיף 4(א) לחוק – לא יאוחר משבעה ימים מיום מתן הצו.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למשיב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הוגשה בקשה והוחלט על מועד לדיון כאמור בתקנה 4, תומצא למשיב הודעה ערוכה לפי טופס 5 שבתוספת ובה יפורט המועד הקבוע לדיון, וכן יוזמן המשיב להגיש תצהיר נגדי עד למועד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במעמד צד אחד לפי סעיף 4(א) לחוק, יומצא למשיב העתק הצו יחד עם הבקשה ונספחיה, בצירוף הודעה כאמור בתקנת משנה (א).</w:t>
      </w:r>
    </w:p>
    <w:p>
      <w:pPr>
        <w:bidi/>
        <w:spacing w:before="70" w:after="5" w:line="250" w:lineRule="auto"/>
        <w:jc w:val="center"/>
      </w:pPr>
      <w:defaultTabStop w:val="720"/>
      <w:r>
        <w:rPr>
          <w:lang w:bidi="he-IL"/>
          <w:rFonts w:hint="cs" w:cs="FrankRuehl"/>
          <w:szCs w:val="26"/>
          <w:b/>
          <w:bCs/>
          <w:rtl/>
        </w:rPr>
        <w:t xml:space="preserve">פרק ג':מהלך הדיון ומתן הצו</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בתאריך שנקבע לדיון במעמד שני הצדדים, יתייצבו המצהירים כדי לאפשר את חקירתם על תצהיריהם.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המבקש לאחר שנמסרה לו הודעה על מועד הדיון, רשאי בית הדין למחוק את הבקשה או לדחותה, ולחייב את המבקש בהוצאות כפי שיראה לנכון, אלא אם כן נמנע מן המבקש להופיע מסיבות שאינן תלויות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איש מבעלי הדין, רשאי בית הדין לדחות את הדיון למועד אחר או למחוק את הבקשה או לדחותה, ולפסוק הוצאות לטובת המדינה כאמור בסעיף 11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התייצב המשיב, רשאי בית הדין לתת צו הגנה, להאריך את תוקפו של הצו, לבטלו או להכניס בו שינויים, לפי סעיף 4 לחוק.</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צו הגנה יהיה ערוך לפי טופס 6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לפי סעיף 2ו לחוק, תימסר ערוכה לפי טופס 7 שבתוספת.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להארכת צו והדיון בה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נתן בית הדין צו הגנה לתקופה קצרה מהתקופה המרבית הכוללת הקבועה בסעיף 5 לחוק, רשאי המבקש להגיש לבית הדין שנתן את הצו, בקשה להארכת תוקפו (להלן בתקנה זו – בקשת הארכה) ערוכה לפי טופס 8 שבתוספת, ויצורף לה תצהיר מטעם המבקש או מאת יודע הפרטים הקשורים לבקשת ההארכה, ערוך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בקשת ההארכה עד שבעה ימים לפני מועד פקיעת צו ההגנה, ידון בית הדין בבקשת ההארכה ויחליט בה לפני מועד פקיעתו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דיון בבקשת ההארכה תישלח למשיב לפי טופס 5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6 תחול, בשינויים המחויבים, לעניין התייצבות בעלי הדין לדיון בבקשת ההארכה.</w:t>
      </w:r>
    </w:p>
    <w:p>
      <w:pPr>
        <w:bidi/>
        <w:spacing w:before="70" w:after="5" w:line="250" w:lineRule="auto"/>
        <w:jc w:val="center"/>
      </w:pPr>
      <w:defaultTabStop w:val="720"/>
      <w:r>
        <w:rPr>
          <w:lang w:bidi="he-IL"/>
          <w:rFonts w:hint="cs" w:cs="FrankRuehl"/>
          <w:szCs w:val="26"/>
          <w:b/>
          <w:bCs/>
          <w:rtl/>
        </w:rPr>
        <w:t xml:space="preserve">פרק ד':בקשות בקשר להחזקה או נשיאה של נשק</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9.</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 בית הדין שדן בבקשה למתן צו הגנה או שנתן את צו ההגנה,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המחויב בצו הגנה, למעט לעניין תקנה 10(ג) ותקנה 11(ב);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מי שלטובתו ניתן צו הגנה.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נשיאת נשק</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מחויב בצו הגנה, המבקש להתיר לו המשך החזקה או נשיאה של נשק לפי סעיף 2ג(א) לחוק, יגיש לבית הדין בקשה בטופס 9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טען המבקש כי התקיימו בעניינו הוראות סעיף 2ג(א)(2)(ב) או (3) לחוק, יצרף לבקשתו גם בקשה מנומקת בכתב מאת הממונה עליו, כמשמעותו באותן פסקאות, לפי העניין (להלן בתקנה זו – הממונה); בקשת הממונה תוגש כשהיא ערוכה לפי טופס 10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בקשת מפקד יחידה כאמור בסעיף 2ג(ב) לחוק, תוגש לבית הדין ערוכה לפי טופס 11 שבתוספת.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איסור נשיאת נשק</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בקשת המחויב בצו הגנה לביטול איסור נשיאה או החזקה של נשק, לפי סעיף 5(ב) לחוק, תוגש לבית הדין ערוכה לפי טופס 12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לביטול איסור נשיאה או החזקה של נשק לפי סעיף 5(ב) לחוק, שמגיש מפקד יחידה כמשמעותו באותו סעיף, תוגש לבית הדין ערוכה לפי טופס 13 שבתוספת.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תנאים והסדרים לנשיאת נשק</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בקשת המחויב בצו לביטול תנאים והסדרים שבהם הותרו נשיאה או החזקה של נשק לפי סעיף 5(ג) לחוק, תוגש לבית הדין לפי טופס 14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שמגיש מפקד יחידה כמשמעותו באותו סעיף, תוגש לבית הדין לפי טופס 15 שבתוספת.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דיון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הודעה על דיון בבקשה לפי פרק זה תהיה ערוכה לפי טופס 16 שבתוספת, ותומצא למבקש ולמשיב, וכן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בבקשה לפי סעיף 2ג(א)(2) או (3) לחוק – גם לממונה על המבקש, לפי העניין, כמשמעותו בסעיף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בבקשה לפי סעיפים 2ג(ב) ו-5(ב) או (ג) לחוק, שמגיש מפקד היחידה, כמשמעותו באותם סעיפים – גם למפקד היחידה.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בבקשות לפי פרק זה וכן מי שהומצאה לו הודעה על הדיון בהן לפי תקנת משנה (א), יוזמנו להגיש תצהיר נגדי עד למועד הדיון.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לדיון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תקנה 6(א) עד (ג) תחול, בשינויים המחויבים, גם על התייצבות בעלי הדין והמצהירים לדיון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זומן המשיב לדיון כדין ולא הופיע, רשאי בית הדין לדחות את הדיון למועד אחר או לדון בבקשה; לצורך החלטתו ישקול בית הדין את דחיפות הבקשה והחשיבות שבנוכחות המשיב בנסיבות העניין.</w:t>
      </w:r>
    </w:p>
    <w:p>
      <w:pPr>
        <w:bidi/>
        <w:spacing w:before="70" w:after="5" w:line="250" w:lineRule="auto"/>
        <w:jc w:val="center"/>
      </w:pPr>
      <w:defaultTabStop w:val="720"/>
      <w:r>
        <w:rPr>
          <w:lang w:bidi="he-IL"/>
          <w:rFonts w:hint="cs" w:cs="FrankRuehl"/>
          <w:szCs w:val="26"/>
          <w:b/>
          <w:bCs/>
          <w:rtl/>
        </w:rPr>
        <w:t xml:space="preserve">פרק ה':הפרת צו הגנה</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 הגנה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בקשה בשל הפרת צו הגנה (בפרק זה – בקשה בשל הפרה) תוגש כשהיא ערוכה לפי טופס 17 שבתוספת; ויצורף לה תצהיר לפי טופס 18 שבתוספת, והודעה על הדיון בבקשה תומצא למשיב לפי טופס 19 שבתוספת; הבקשה תוגש לבית הדין שנתן את הצו, אלא אם כן הועבר התיק לבית דין אחר, לפי תקנה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6 תחול, בשינויים המחויבים, לעניין התייצבות בעלי הדין לדיון בבקשה בשל הפרה.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בקשה בשל הפרת צו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בקשה בשל הפרה כאמור בתקנה 15(א) תוגש בתוך שבעה ימים מיום הפרת צו ההגנה.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למשטרה בשל הפרת צו הגנה הכולל איסור לפי סעיף 2(א)(1) לחוק, תוגש בקשה בשל הפרה בתוך ארבעים ושמונה שעות מזמן הגשת התלונה, אלא אם כן נמנע מהמבקש להגישה בשל סיבות שאינן תלויות בו; במניין השעות לא יבואו בחשבון שבתות וחגים.</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בקשות</w:t>
                </w:r>
              </w:p>
            </w:txbxContent>
          </v:textbox>
        </v:rect>
      </w:pict>
      <w:r>
        <w:rPr>
          <w:lang w:bidi="he-IL"/>
          <w:rFonts w:hint="cs" w:cs="FrankRuehl"/>
          <w:szCs w:val="34"/>
          <w:rtl/>
        </w:rPr>
        <w:t xml:space="preserve">17.</w:t>
      </w:r>
      <w:r>
        <w:rPr>
          <w:lang w:bidi="he-IL"/>
          <w:rFonts w:hint="cs" w:cs="FrankRuehl"/>
          <w:szCs w:val="26"/>
          <w:rtl/>
        </w:rPr>
        <w:tab/>
        <w:t xml:space="preserve">בקשות לפי תקנות אלה, לרבות תצהיר ונספחים אחרים, יוגשו בשלושה עותקים.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כתבי בי-דין</w:t>
                </w:r>
              </w:p>
            </w:txbxContent>
          </v:textbox>
        </v:rect>
      </w:pict>
      <w:r>
        <w:rPr>
          <w:lang w:bidi="he-IL"/>
          <w:rFonts w:hint="cs" w:cs="FrankRuehl"/>
          <w:szCs w:val="34"/>
          <w:rtl/>
        </w:rPr>
        <w:t xml:space="preserve">18.</w:t>
      </w:r>
      <w:r>
        <w:rPr>
          <w:lang w:bidi="he-IL"/>
          <w:rFonts w:hint="cs" w:cs="FrankRuehl"/>
          <w:szCs w:val="26"/>
          <w:rtl/>
        </w:rPr>
        <w:tab/>
        <w:t xml:space="preserve">כתבי בי-דין והודעות לעניין הליכים לפי החוק, יומצאו בהתאם לסעיף 9 לחוק, בדרך שתבטיח את מסירתם לפי דחיפות ההליך, בהתאם לכתובת למסירת כתבי בי-דין כמפורט בתצהיר המבקש.</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סדרי הדין של בתי הדין הדתיים הדרוזיים</w:t>
                </w:r>
              </w:p>
            </w:txbxContent>
          </v:textbox>
        </v:rect>
      </w:pict>
      <w:r>
        <w:rPr>
          <w:lang w:bidi="he-IL"/>
          <w:rFonts w:hint="cs" w:cs="FrankRuehl"/>
          <w:szCs w:val="34"/>
          <w:rtl/>
        </w:rPr>
        <w:t xml:space="preserve">19.</w:t>
      </w:r>
      <w:r>
        <w:rPr>
          <w:lang w:bidi="he-IL"/>
          <w:rFonts w:hint="cs" w:cs="FrankRuehl"/>
          <w:szCs w:val="26"/>
          <w:rtl/>
        </w:rPr>
        <w:tab/>
        <w:t xml:space="preserve">בכל עניין של סדר דין הנוגע לצו הגנה שאין עליו הוראה בתקנות אלה, יחולו סדרי דין הנהוגים בבית הדין לפי תקנות סדרי הדין בפני בתי הדין הדתיים הדרוזיים–1964, בשינויים המחויבים לפי העניין.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תחילתן של תקנות אלה 60 ימים מיום פרסומן.</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(לפי תקנות 2, 5, 6, 7, 8, 10, 11, 12, 13 ו-15)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0e399e6335e34435">
        <w:r>
          <w:rPr>
            <w:rStyle w:val="Hyperlink"/>
            <w:u w:val="single"/>
            <w:color w:themeColor="hyperlink"/>
          </w:rPr>
          <w:t>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(תקנות 2(א) ו-8(א))
</w:t>
      </w:r>
      <w:hyperlink xmlns:r="http://schemas.openxmlformats.org/officeDocument/2006/relationships" w:history="true" r:id="R95f480ef55474d6a">
        <w:r>
          <w:rPr>
            <w:rStyle w:val="Hyperlink"/>
            <w:u w:val="single"/>
            <w:color w:themeColor="hyperlink"/>
          </w:rPr>
          <w:t>תצהיר לבקשה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2(ג))
</w:t>
      </w:r>
      <w:hyperlink xmlns:r="http://schemas.openxmlformats.org/officeDocument/2006/relationships" w:history="true" r:id="Rab78f8f702ae4bde">
        <w:r>
          <w:rPr>
            <w:rStyle w:val="Hyperlink"/>
            <w:u w:val="single"/>
            <w:color w:themeColor="hyperlink"/>
          </w:rPr>
          <w:t>בקשה לצו הגנה במעמד צד אחד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3)
</w:t>
      </w:r>
      <w:hyperlink xmlns:r="http://schemas.openxmlformats.org/officeDocument/2006/relationships" w:history="true" r:id="R2aa53863d768475e">
        <w:r>
          <w:rPr>
            <w:rStyle w:val="Hyperlink"/>
            <w:u w:val="single"/>
            <w:color w:themeColor="hyperlink"/>
          </w:rPr>
          <w:t>כתב ערובה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29c8e891d974ab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3fee06096f8453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bed1a7308d34f4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8(א))
</w:t>
      </w:r>
      <w:hyperlink xmlns:r="http://schemas.openxmlformats.org/officeDocument/2006/relationships" w:history="true" r:id="Ra3adedb41d6e47f7">
        <w:r>
          <w:rPr>
            <w:rStyle w:val="Hyperlink"/>
            <w:u w:val="single"/>
            <w:color w:themeColor="hyperlink"/>
          </w:rPr>
          <w:t>בקשה להארכת תוקפו של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10(א))
</w:t>
      </w:r>
      <w:hyperlink xmlns:r="http://schemas.openxmlformats.org/officeDocument/2006/relationships" w:history="true" r:id="Rd741e80bfbdb4719">
        <w:r>
          <w:rPr>
            <w:rStyle w:val="Hyperlink"/>
            <w:u w:val="single"/>
            <w:color w:themeColor="hyperlink"/>
          </w:rPr>
          <w:t>בקשה להתיר המשך החזקה או נשיאת נשק למחויב בצו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10(ב))
</w:t>
      </w:r>
      <w:hyperlink xmlns:r="http://schemas.openxmlformats.org/officeDocument/2006/relationships" w:history="true" r:id="R0e06402dbf624e23">
        <w:r>
          <w:rPr>
            <w:rStyle w:val="Hyperlink"/>
            <w:u w:val="single"/>
            <w:color w:themeColor="hyperlink"/>
          </w:rPr>
          <w:t>בקשת ממונה להתיר החזקה או נשיאה של נשק על ידי מחויב בצו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10(ג))
</w:t>
      </w:r>
      <w:hyperlink xmlns:r="http://schemas.openxmlformats.org/officeDocument/2006/relationships" w:history="true" r:id="Rd500ad9d10a84346">
        <w:r>
          <w:rPr>
            <w:rStyle w:val="Hyperlink"/>
            <w:u w:val="single"/>
            <w:color w:themeColor="hyperlink"/>
          </w:rPr>
          <w:t>בקשת מפקד יחידה בצבא הגנה לישראל להתיר למחויב בצו להחזיק או לשאת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
(תקנה 11(א))
</w:t>
      </w:r>
      <w:hyperlink xmlns:r="http://schemas.openxmlformats.org/officeDocument/2006/relationships" w:history="true" r:id="Rc5b18bb21a444662">
        <w:r>
          <w:rPr>
            <w:rStyle w:val="Hyperlink"/>
            <w:u w:val="single"/>
            <w:color w:themeColor="hyperlink"/>
          </w:rPr>
          <w:t>בקשת מחויב בצו לביטול איסור 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13
(תקנה 11(ב))
</w:t>
      </w:r>
      <w:hyperlink xmlns:r="http://schemas.openxmlformats.org/officeDocument/2006/relationships" w:history="true" r:id="Rc574a80a35694150">
        <w:r>
          <w:rPr>
            <w:rStyle w:val="Hyperlink"/>
            <w:u w:val="single"/>
            <w:color w:themeColor="hyperlink"/>
          </w:rPr>
          <w:t>בקשת מפקד יחידה בצבא ההגנה לישראל לביטול איסור 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14
(תקנה 12(א))
</w:t>
      </w:r>
      <w:hyperlink xmlns:r="http://schemas.openxmlformats.org/officeDocument/2006/relationships" w:history="true" r:id="R62f4f9b97aaf4f9b">
        <w:r>
          <w:rPr>
            <w:rStyle w:val="Hyperlink"/>
            <w:u w:val="single"/>
            <w:color w:themeColor="hyperlink"/>
          </w:rPr>
          <w:t>בקשת מחויב בצו לביטול תנאים / הסדרים להחזקה או נשיאת נשק לפי סעיף 5(ג) לחוק למניעת אלימות במשפחה, התשנ"א-1991</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15
(תקנה 12(ב))
</w:t>
      </w:r>
      <w:hyperlink xmlns:r="http://schemas.openxmlformats.org/officeDocument/2006/relationships" w:history="true" r:id="R62326fa035b648aa">
        <w:r>
          <w:rPr>
            <w:rStyle w:val="Hyperlink"/>
            <w:u w:val="single"/>
            <w:color w:themeColor="hyperlink"/>
          </w:rPr>
          <w:t>בקשת מפקד יחידה לביטול תנאים / הסדרים להחזקה או נשיאת נשק לפי סעיף 5(ג) לחוק למניעת אלימות במשפחה, התשנ"א-1991</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6e61753a4ea434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17
(תקנה 15(א))
</w:t>
      </w:r>
      <w:hyperlink xmlns:r="http://schemas.openxmlformats.org/officeDocument/2006/relationships" w:history="true" r:id="Rdec7e8f6ea1441f5">
        <w:r>
          <w:rPr>
            <w:rStyle w:val="Hyperlink"/>
            <w:u w:val="single"/>
            <w:color w:themeColor="hyperlink"/>
          </w:rPr>
          <w:t>בקשה בשל הפרת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18
(תקנה 15(א))
</w:t>
      </w:r>
      <w:hyperlink xmlns:r="http://schemas.openxmlformats.org/officeDocument/2006/relationships" w:history="true" r:id="Rdf2c35c20ae74968">
        <w:r>
          <w:rPr>
            <w:rStyle w:val="Hyperlink"/>
            <w:u w:val="single"/>
            <w:color w:themeColor="hyperlink"/>
          </w:rPr>
          <w:t>תצהיר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1b4e6a72d2d2492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אלימות במשפחה (סדרי דין בבתי הדין הדתיים הדרוזיים),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c91a10948394f4c" /><Relationship Type="http://schemas.openxmlformats.org/officeDocument/2006/relationships/hyperlink" Target="https://www.nevo.co.il/lawattachments/616fc1395892a7587451bd9a/1a5a50b2-ec73-4d3f-a1c9-b8c0ac701932.doc" TargetMode="External" Id="R0e399e6335e34435" /><Relationship Type="http://schemas.openxmlformats.org/officeDocument/2006/relationships/hyperlink" Target="https://www.nevo.co.il/lawattachments/616fc1395892a7587451bd9a/b210f3bc-940c-4a7b-9d9b-202e63569154.doc" TargetMode="External" Id="R95f480ef55474d6a" /><Relationship Type="http://schemas.openxmlformats.org/officeDocument/2006/relationships/hyperlink" Target="https://www.nevo.co.il/lawattachments/616fc1395892a7587451bd9a/23a98ac4-cb60-42e0-b4cc-b37db40be060.doc" TargetMode="External" Id="Rab78f8f702ae4bde" /><Relationship Type="http://schemas.openxmlformats.org/officeDocument/2006/relationships/hyperlink" Target="https://www.nevo.co.il/lawattachments/616fc1395892a7587451bd9a/ef7afb73-e14d-454a-84d4-d825434aa149.doc" TargetMode="External" Id="R2aa53863d768475e" /><Relationship Type="http://schemas.openxmlformats.org/officeDocument/2006/relationships/hyperlink" Target="https://www.nevo.co.il/laws/#/616fc1395892a7587451bd9a/clause/617001f65892a7587451c4b2" TargetMode="External" Id="R029c8e891d974ab4" /><Relationship Type="http://schemas.openxmlformats.org/officeDocument/2006/relationships/hyperlink" Target="https://www.nevo.co.il/laws/#/616fc1395892a7587451bd9a/clause/61700fd35892a7587451c59d" TargetMode="External" Id="R73fee06096f84534" /><Relationship Type="http://schemas.openxmlformats.org/officeDocument/2006/relationships/hyperlink" Target="https://www.nevo.co.il/laws/#/616fc1395892a7587451bd9a/clause/6170125a5892a7587451c614" TargetMode="External" Id="R9bed1a7308d34f4e" /><Relationship Type="http://schemas.openxmlformats.org/officeDocument/2006/relationships/hyperlink" Target="https://www.nevo.co.il/lawattachments/616fc1395892a7587451bd9a/62f67d0b-5380-43fa-aaa8-dfa715d0bbc3.doc" TargetMode="External" Id="Ra3adedb41d6e47f7" /><Relationship Type="http://schemas.openxmlformats.org/officeDocument/2006/relationships/hyperlink" Target="https://www.nevo.co.il/lawattachments/616fc1395892a7587451bd9a/40250c60-82e3-4637-8b1a-0d203687789d.doc" TargetMode="External" Id="Rd741e80bfbdb4719" /><Relationship Type="http://schemas.openxmlformats.org/officeDocument/2006/relationships/hyperlink" Target="https://www.nevo.co.il/lawattachments/616fc1395892a7587451bd9a/5ad6c9f7-9247-48e2-ac53-cdb5ce34bf6e.doc" TargetMode="External" Id="R0e06402dbf624e23" /><Relationship Type="http://schemas.openxmlformats.org/officeDocument/2006/relationships/hyperlink" Target="https://www.nevo.co.il/lawattachments/616fc1395892a7587451bd9a/85367202-7595-44b7-aabd-2a1fcb3b2c7f.doc" TargetMode="External" Id="Rd500ad9d10a84346" /><Relationship Type="http://schemas.openxmlformats.org/officeDocument/2006/relationships/hyperlink" Target="https://www.nevo.co.il/lawattachments/616fc1395892a7587451bd9a/f18adfe9-276f-4c39-91dc-e57d2ccd6414.doc" TargetMode="External" Id="Rc5b18bb21a444662" /><Relationship Type="http://schemas.openxmlformats.org/officeDocument/2006/relationships/hyperlink" Target="https://www.nevo.co.il/lawattachments/616fc1395892a7587451bd9a/53e8dfab-6626-40d2-8214-3e52ef7e2b86.doc" TargetMode="External" Id="Rc574a80a35694150" /><Relationship Type="http://schemas.openxmlformats.org/officeDocument/2006/relationships/hyperlink" Target="https://www.nevo.co.il/lawattachments/616fc1395892a7587451bd9a/7b760932-7669-44e2-b6d7-50adab1975ae.doc" TargetMode="External" Id="R62f4f9b97aaf4f9b" /><Relationship Type="http://schemas.openxmlformats.org/officeDocument/2006/relationships/hyperlink" Target="https://www.nevo.co.il/lawattachments/616fc1395892a7587451bd9a/3282606f-c8e0-48c2-bb16-7fe3c194cb65.doc" TargetMode="External" Id="R62326fa035b648aa" /><Relationship Type="http://schemas.openxmlformats.org/officeDocument/2006/relationships/hyperlink" Target="https://www.nevo.co.il/laws/#/616fc1395892a7587451bd9a/clause/61703e8de35081ff549970a5" TargetMode="External" Id="Rb6e61753a4ea434d" /><Relationship Type="http://schemas.openxmlformats.org/officeDocument/2006/relationships/hyperlink" Target="https://www.nevo.co.il/lawattachments/616fc1395892a7587451bd9a/5fc190c0-45ea-4d5e-b796-9b9472f8fbad.doc" TargetMode="External" Id="Rdec7e8f6ea1441f5" /><Relationship Type="http://schemas.openxmlformats.org/officeDocument/2006/relationships/hyperlink" Target="https://www.nevo.co.il/lawattachments/616fc1395892a7587451bd9a/bab3dbf4-3b39-4d26-ac54-4bbb902defc4.doc" TargetMode="External" Id="Rdf2c35c20ae74968" /><Relationship Type="http://schemas.openxmlformats.org/officeDocument/2006/relationships/hyperlink" Target="https://www.nevo.co.il/laws/#/616fc1395892a7587451bd9a/clause/617044708f7628421c83c507" TargetMode="External" Id="R1b4e6a72d2d24929" /><Relationship Type="http://schemas.openxmlformats.org/officeDocument/2006/relationships/header" Target="/word/header1.xml" Id="r97" /><Relationship Type="http://schemas.openxmlformats.org/officeDocument/2006/relationships/footer" Target="/word/footer1.xml" Id="r98" /></Relationships>
</file>