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33946cc446064250"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עוולות מסחריות (סעדים וסדרי דין), התש"ס-1999</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א':מתן דין וחשבון</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 למתן דין וחשבון</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 נוסף</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ב':כונס נכסים</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א':מינוי כונס נכסים</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כונס נכסים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למינוי כונס נכסים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העתקים מן הצו</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ערובת כונס הנכסים</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אחריות כונס הנכסים</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סודיות</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אכיפת תשלום</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או שינוי הצו</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פקיעת הצו</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דין</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ב':כניסה, חיפוש ותפיסה</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כונס הנכסים</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עדים</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נוכחות בעת החיפוש והתפיסה</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וחשבון על כניסה, חיפוש ותפיסה</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סודיות וטענת סוד מסחרי</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החזקת הנכסים</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ג':הוראות בדבר הצטרפות צד שלישי</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מטעם בית המשפט</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הודעת הצטרפות</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ג':שונות</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תקנות סדר הדין האזרחי ותקנות בית הדין לעבודה (סדרי דין)</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עוולות מסחריות (סעדים וסדרי דין), התש"ס-1999</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15 ו-25 לחוק עוולות מסחריות, התשנ"ט-1999, ולפי סעיף 108 לחוק בתי המשפט [נוסח משולב], התשמ"ד-1984, ובאישור ועדת החוקה חוק ומשפט של הכנסת, אני מתקין תקנות אלה:</w:t>
      </w:r>
    </w:p>
    <w:p>
      <w:pPr>
        <w:bidi/>
        <w:spacing w:before="70" w:after="5" w:line="250" w:lineRule="auto"/>
        <w:jc w:val="center"/>
      </w:pPr>
      <w:defaultTabStop w:val="720"/>
      <w:r>
        <w:rPr>
          <w:lang w:bidi="he-IL"/>
          <w:rFonts w:hint="cs" w:cs="FrankRuehl"/>
          <w:szCs w:val="26"/>
          <w:b/>
          <w:bCs/>
          <w:rtl/>
        </w:rPr>
        <w:t xml:space="preserve">פרק א':מתן דין וחשבון</w:t>
      </w:r>
      <w:bookmarkStart w:name="h1" w:id="1"/>
      <w:bookmarkEnd w:id="1"/>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 למתן דין וחשבון</w:t>
                </w:r>
              </w:p>
            </w:txbxContent>
          </v:textbox>
        </v:rect>
      </w:pict>
      <w:r>
        <w:rPr>
          <w:lang w:bidi="he-IL"/>
          <w:rFonts w:hint="cs" w:cs="FrankRuehl"/>
          <w:szCs w:val="34"/>
          <w:rtl/>
        </w:rPr>
        <w:t xml:space="preserve">1.</w:t>
        <w:tab/>
      </w:r>
      <w:r>
        <w:rPr>
          <w:lang w:bidi="he-IL"/>
          <w:rFonts w:hint="cs" w:cs="FrankRuehl"/>
          <w:szCs w:val="26"/>
          <w:rtl/>
        </w:rPr>
        <w:t xml:space="preserve">(א)</w:t>
      </w:r>
      <w:r>
        <w:rPr>
          <w:lang w:bidi="he-IL"/>
          <w:rFonts w:hint="cs" w:cs="FrankRuehl"/>
          <w:szCs w:val="26"/>
          <w:rtl/>
        </w:rPr>
        <w:tab/>
        <w:t xml:space="preserve">בלי לגרוע מהוראות פרק ט' בחלק ב' לתקנות סדר הדין האזרחי, התשע"ט-2018 (להלן – תקנות סדר הדין האזרחי), רשאי בית המשפט, לבקשת התובע, אם ראה כי קיימת זכות לכאורה, ליתן צו למתן דין וחשבון, אשר בו יורה לנתבע למסור פרטים וחשבונות הנוגעים לבירור התובענה, לרבות פרטים בדבר מועדי ייצור וכמויות ייצור, בדבר מפיצים וכן בדבר מועדים וכמויות של רכישות ומכירות.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דין וחשבון יינתן בתצהיר, ויש להגישו בתוך 30 ימים מיום המצאת הצו למשיב, או בתוך מועד אחר שקבע בית המשפט.</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 נוסף</w:t>
                </w:r>
              </w:p>
            </w:txbxContent>
          </v:textbox>
        </v:rect>
      </w:pict>
      <w:r>
        <w:rPr>
          <w:lang w:bidi="he-IL"/>
          <w:rFonts w:hint="cs" w:cs="FrankRuehl"/>
          <w:szCs w:val="34"/>
          <w:rtl/>
        </w:rPr>
        <w:t xml:space="preserve">2.</w:t>
      </w:r>
      <w:r>
        <w:rPr>
          <w:lang w:bidi="he-IL"/>
          <w:rFonts w:hint="cs" w:cs="FrankRuehl"/>
          <w:szCs w:val="26"/>
          <w:rtl/>
        </w:rPr>
        <w:tab/>
        <w:t xml:space="preserve">הוגש דין וחשבון בלתי מספק, רשאי התובע לבקש מבית המשפט צו המחייב את הנתבע לתקן או להשלים את הדין וחשבון. בית המשפט רשאי להורות על השלמת הדין וחשבון בדרך שיקבע.</w:t>
      </w:r>
    </w:p>
    <w:p>
      <w:pPr>
        <w:bidi/>
        <w:spacing w:before="70" w:after="5" w:line="250" w:lineRule="auto"/>
        <w:jc w:val="center"/>
      </w:pPr>
      <w:defaultTabStop w:val="720"/>
      <w:r>
        <w:rPr>
          <w:lang w:bidi="he-IL"/>
          <w:rFonts w:hint="cs" w:cs="FrankRuehl"/>
          <w:szCs w:val="26"/>
          <w:b/>
          <w:bCs/>
          <w:rtl/>
        </w:rPr>
        <w:t xml:space="preserve">פרק ב':כונס נכסים</w:t>
      </w:r>
      <w:bookmarkStart w:name="h4" w:id="4"/>
      <w:bookmarkEnd w:id="4"/>
    </w:p>
    <w:p>
      <w:pPr>
        <w:bidi/>
        <w:spacing w:before="70" w:after="5" w:line="250" w:lineRule="auto"/>
        <w:jc w:val="center"/>
      </w:pPr>
      <w:defaultTabStop w:val="720"/>
      <w:r>
        <w:rPr>
          <w:lang w:bidi="he-IL"/>
          <w:rFonts w:hint="cs" w:cs="FrankRuehl"/>
          <w:szCs w:val="26"/>
          <w:b/>
          <w:bCs/>
          <w:rtl/>
        </w:rPr>
        <w:t xml:space="preserve">סימן א':מינוי כונס נכסים</w:t>
      </w:r>
      <w:bookmarkStart w:name="h5" w:id="5"/>
      <w:bookmarkEnd w:id="5"/>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הגדרה</w:t>
                </w:r>
              </w:p>
            </w:txbxContent>
          </v:textbox>
        </v:rect>
      </w:pict>
      <w:r>
        <w:rPr>
          <w:lang w:bidi="he-IL"/>
          <w:rFonts w:hint="cs" w:cs="FrankRuehl"/>
          <w:szCs w:val="34"/>
          <w:rtl/>
        </w:rPr>
        <w:t xml:space="preserve">3.</w:t>
      </w:r>
      <w:r>
        <w:rPr>
          <w:lang w:bidi="he-IL"/>
          <w:rFonts w:hint="cs" w:cs="FrankRuehl"/>
          <w:szCs w:val="26"/>
          <w:rtl/>
        </w:rPr>
        <w:tab/>
        <w:t xml:space="preserve">בסימן זה, "נכסים" – נכסים אשר הופקו תוך ביצוע עוולה או שימשו לביצועה, או המהווים ראיות אשר קיים חשש סביר להעלמתן.</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כונס נכסים</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צו למינוי כונס נכסים לפי סעיף 16 לחוק (להלן – צו מינוי), יכלול הוראות המכוונות לכונס הנכסים, וכן הוראה בדבר אי הכשלת ביצוע הצו, המכוונת למי שנגדו ניתן הצו או אדם מטעמו, שיהיה נוכח בעת ביצועו; צו מינוי יהיה ערוך לפי טופס 1 שבתוספת.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תקופת המינוי תהא עד למתן פסק הדין בתובענה, זולת אם קבע בית המשפט מועד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יינתן צו מינוי אלא כפוף להמצאת ערובה ועירבון כאמור בסעיפים 18 ו-19 לחוק, וערובת כונס הנכסים כאמור בתקנה 7.</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למינוי כונס נכסים</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בבקשה למתן צו מינוי יפרט המבקש את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שמותיהם של הנתבע ושל צד שלישי המחזיק בחצרים שלגביהם מתבקש הצו (להלן – מי שנגדו ניתן הצו), מספרי זהותם, מקום מגוריהם ומענם להמצאת כתבי בי-דין, ואם היה מי מהם תאגיד – האופן שבו התאגד;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מענם של החצרים שלגביהם מתבקש הצו;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פירוט הנכסים שלגביהם מתבקש הצו, תיאורם ומקום הימצאם, ואם הופקו תוך ביצוע העוולה או שימשו לביצועה; כן יצוין היכן בדעתו להחזיק את הנכסים לאחר תפיסתם;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היו בין הנכסים שלגביהם מתבקש הצו נכסים המהווים ראיות – הנימוקים לחשש שעליו נסמכת הבקשה.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המבקש יציע בבקשתו מועמד שיהא כונס נכסים; לבקשה יצרף את הסכמתו בכתב של המועמד למינוי.</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העתקים מן הצו</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ניתן צו מינוי, ימציא המבקש לכונס הנכסים שמונה העתקים מצו המינוי, בצירוף העתקים של כל המסמכים שהוגשו לבית המשפט במסגרת הבקשה למתן צו מינוי, ואם הוגשה תובענה, גם את מסמכי התובענה.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ניתן הצו למינוי כונס הנכסים במעמד צד אחד, ימציא כונס הנכסים, בעת ביצוע הצו, את העתק הצו ואת המסמכים האמורים בתקנת משנה (א) גם למי שנגדו ניתן הצו, אם היה נוכח בעת החיפוש שערך, או מיד אחריו אם לא היה נוכח כאמור.</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ערובת כונס הנכסים</w:t>
                </w:r>
              </w:p>
            </w:txbxContent>
          </v:textbox>
        </v:rect>
      </w:pict>
      <w:r>
        <w:rPr>
          <w:lang w:bidi="he-IL"/>
          <w:rFonts w:hint="cs" w:cs="FrankRuehl"/>
          <w:szCs w:val="34"/>
          <w:rtl/>
        </w:rPr>
        <w:t xml:space="preserve">7.</w:t>
      </w:r>
      <w:r>
        <w:rPr>
          <w:lang w:bidi="he-IL"/>
          <w:rFonts w:hint="cs" w:cs="FrankRuehl"/>
          <w:szCs w:val="26"/>
          <w:rtl/>
        </w:rPr>
        <w:tab/>
        <w:t xml:space="preserve">כונס נכסים שנתמנה, ייתן ערובה, בסכום שיפורש בצו, להבטחת אחריותו לנכסים או לחצרים שלגביהם ניתן הצו, ולכל אשר יגיע לידו בקשר אליהם; הערובה תהא בכתב ערבות, ערוך לפי טופס 2 שבתוספת.</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אחריות כונס הנכסים</w:t>
                </w:r>
              </w:p>
            </w:txbxContent>
          </v:textbox>
        </v:rect>
      </w:pict>
      <w:r>
        <w:rPr>
          <w:lang w:bidi="he-IL"/>
          <w:rFonts w:hint="cs" w:cs="FrankRuehl"/>
          <w:szCs w:val="34"/>
          <w:rtl/>
        </w:rPr>
        <w:t xml:space="preserve">8.</w:t>
      </w:r>
      <w:r>
        <w:rPr>
          <w:lang w:bidi="he-IL"/>
          <w:rFonts w:hint="cs" w:cs="FrankRuehl"/>
          <w:szCs w:val="26"/>
          <w:rtl/>
        </w:rPr>
        <w:tab/>
        <w:t xml:space="preserve">כונס הנכסים יהא אחראי לכל נזק שגרם לנכסים או לחצרים, שלגביהם ניתן הצו, מתוך זדון או רשלנות.</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סודיות</w:t>
                </w:r>
              </w:p>
            </w:txbxContent>
          </v:textbox>
        </v:rect>
      </w:pict>
      <w:r>
        <w:rPr>
          <w:lang w:bidi="he-IL"/>
          <w:rFonts w:hint="cs" w:cs="FrankRuehl"/>
          <w:szCs w:val="34"/>
          <w:rtl/>
        </w:rPr>
        <w:t xml:space="preserve">9.</w:t>
      </w:r>
      <w:r>
        <w:rPr>
          <w:lang w:bidi="he-IL"/>
          <w:rFonts w:hint="cs" w:cs="FrankRuehl"/>
          <w:szCs w:val="26"/>
          <w:rtl/>
        </w:rPr>
        <w:tab/>
        <w:t xml:space="preserve">כונס נכסים לא יעשה שימוש במידע או במסמכים שהגיעו אליו עקב תפקידו, ולא יגלה אותם לאחר, אלא לצורך ביצוע תפקידו, מכוח חובה על פי דין למסור מידע או אם הורשה לכך על ידי בית המשפט, וינקוט אמצעים, ככל הדרוש, כדי להבטיח שהעובדים בשירותו ישמרו על סודיות כאמור.</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אכיפת תשלום</w:t>
                </w:r>
              </w:p>
            </w:txbxContent>
          </v:textbox>
        </v:rect>
      </w:pict>
      <w:r>
        <w:rPr>
          <w:lang w:bidi="he-IL"/>
          <w:rFonts w:hint="cs" w:cs="FrankRuehl"/>
          <w:szCs w:val="34"/>
          <w:rtl/>
        </w:rPr>
        <w:t xml:space="preserve">10.</w:t>
      </w:r>
      <w:r>
        <w:rPr>
          <w:lang w:bidi="he-IL"/>
          <w:rFonts w:hint="cs" w:cs="FrankRuehl"/>
          <w:szCs w:val="26"/>
          <w:rtl/>
        </w:rPr>
        <w:tab/>
        <w:t xml:space="preserve">כונס נכסים שלא שילם סכום המגיע ממנו, לא הגיש דין וחשבון או שגרם נזק לנכסים או לחצרים שלגביהם ניתן הצו, מתוך זדון או רשלנות, רשאי בית המשפט להורות על עיקול נכסיו, למכרם ולהשתמש בדמי המכר לסילוק כל סכום המגיע מכונס הנכסים או לכיסוי כל הפסד שגרם, ואת היתרה ישלם לכונס הנכסים.</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או שינוי הצו</w:t>
                </w:r>
              </w:p>
            </w:txbxContent>
          </v:textbox>
        </v:rect>
      </w:pict>
      <w:r>
        <w:rPr>
          <w:lang w:bidi="he-IL"/>
          <w:rFonts w:hint="cs" w:cs="FrankRuehl"/>
          <w:szCs w:val="34"/>
          <w:rtl/>
        </w:rPr>
        <w:t xml:space="preserve">11.</w:t>
      </w:r>
      <w:r>
        <w:rPr>
          <w:lang w:bidi="he-IL"/>
          <w:rFonts w:hint="cs" w:cs="FrankRuehl"/>
          <w:szCs w:val="26"/>
          <w:rtl/>
        </w:rPr>
        <w:tab/>
        <w:t xml:space="preserve">בית המשפט רשאי, בכל עת, לפי בקשת בעל דין או כונס הנכסים, לבטל את צו המינוי או לשנותו, אם ראה שנסיבות הענין מצדיקות זאת.</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פקיעת הצו</w:t>
                </w:r>
              </w:p>
            </w:txbxContent>
          </v:textbox>
        </v:rect>
      </w:pict>
      <w:r>
        <w:rPr>
          <w:lang w:bidi="he-IL"/>
          <w:rFonts w:hint="cs" w:cs="FrankRuehl"/>
          <w:szCs w:val="34"/>
          <w:rtl/>
        </w:rPr>
        <w:t xml:space="preserve">12.</w:t>
      </w:r>
      <w:r>
        <w:rPr>
          <w:lang w:bidi="he-IL"/>
          <w:rFonts w:hint="cs" w:cs="FrankRuehl"/>
          <w:szCs w:val="26"/>
          <w:rtl/>
        </w:rPr>
        <w:tab/>
        <w:t xml:space="preserve">צו מינוי יפקע באחת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המבקש לא המציא את העתק הצו והמסמכים כאמור בתקנה 6(ב);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התובענה נדחתה, נמחקה או הופסקה, ואם נותר צו המינוי בתוקף לאחר מתן פסק הדין – אם פסק הדין בוצע;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הצו ניתן לפני שהוגשה התובענה, והתובע לא הגיש את כתב התביעה בתוך שבעה ימים מיום נתינתו, או במועד מאוחר יותר שקבע בית המשפט כאמור בסעיף 17(ג) לחוק.</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דין</w:t>
                </w:r>
              </w:p>
            </w:txbxContent>
          </v:textbox>
        </v:rect>
      </w:pict>
      <w:r>
        <w:rPr>
          <w:lang w:bidi="he-IL"/>
          <w:rFonts w:hint="cs" w:cs="FrankRuehl"/>
          <w:szCs w:val="34"/>
          <w:rtl/>
        </w:rPr>
        <w:t xml:space="preserve">13.</w:t>
      </w:r>
      <w:r>
        <w:rPr>
          <w:lang w:bidi="he-IL"/>
          <w:rFonts w:hint="cs" w:cs="FrankRuehl"/>
          <w:szCs w:val="26"/>
          <w:rtl/>
        </w:rPr>
        <w:tab/>
        <w:t xml:space="preserve">הוראות פרק זה יבואו במקום הוראות סימן ד' לפרק ט"ו בחלק ב' לתקנות סדר הדין האזרחי.</w:t>
      </w:r>
    </w:p>
    <w:p>
      <w:pPr>
        <w:bidi/>
        <w:spacing w:before="70" w:after="5" w:line="250" w:lineRule="auto"/>
        <w:jc w:val="center"/>
      </w:pPr>
      <w:defaultTabStop w:val="720"/>
      <w:r>
        <w:rPr>
          <w:lang w:bidi="he-IL"/>
          <w:rFonts w:hint="cs" w:cs="FrankRuehl"/>
          <w:szCs w:val="26"/>
          <w:b/>
          <w:bCs/>
          <w:rtl/>
        </w:rPr>
        <w:t xml:space="preserve">סימן ב':כניסה, חיפוש ותפיסה</w:t>
      </w:r>
      <w:bookmarkStart w:name="h17" w:id="17"/>
      <w:bookmarkEnd w:id="17"/>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כונס הנכסים</w:t>
                </w:r>
              </w:p>
            </w:txbxContent>
          </v:textbox>
        </v:rect>
      </w:pict>
      <w:r>
        <w:rPr>
          <w:lang w:bidi="he-IL"/>
          <w:rFonts w:hint="cs" w:cs="FrankRuehl"/>
          <w:szCs w:val="34"/>
          <w:rtl/>
        </w:rPr>
        <w:t xml:space="preserve">14.</w:t>
      </w:r>
      <w:r>
        <w:rPr>
          <w:lang w:bidi="he-IL"/>
          <w:rFonts w:hint="cs" w:cs="FrankRuehl"/>
          <w:szCs w:val="26"/>
          <w:rtl/>
        </w:rPr>
        <w:tab/>
        <w:t xml:space="preserve">משניתן צו מינוי רשאי כונס הנכסים להיכנס, בתוך המועד הקבוע בצו, לחצרים שלגביהם ניתן הצו (להלן – החצרים), ולערוך בהם חיפוש לשם תפיסת הנכסים האמורים בצו (להלן – הנכסים); כונס הנכסים רשאי לצלם את החצרים, לתפוס את הנכסים, להעתיקם, לצלמם, ולעשות בהם את האמור בצו.</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עדים</w:t>
                </w:r>
              </w:p>
            </w:txbxContent>
          </v:textbox>
        </v:rect>
      </w:pict>
      <w:r>
        <w:rPr>
          <w:lang w:bidi="he-IL"/>
          <w:rFonts w:hint="cs" w:cs="FrankRuehl"/>
          <w:szCs w:val="34"/>
          <w:rtl/>
        </w:rPr>
        <w:t xml:space="preserve">15.</w:t>
      </w:r>
      <w:r>
        <w:rPr>
          <w:lang w:bidi="he-IL"/>
          <w:rFonts w:hint="cs" w:cs="FrankRuehl"/>
          <w:szCs w:val="26"/>
          <w:rtl/>
        </w:rPr>
        <w:tab/>
        <w:t xml:space="preserve">הכניסה, החיפוש והתפיסה ייעשו בנוכחות שני עדים; קודם לביצוע הצו יעמיד כונס הנכסים את העדים על כך שמחובתם לשמור על סודיות המידע שהגיע אליהם אגב הכניסה, החיפוש והתפיסה, איסור השימוש בו ואיסור גילויו לאחר, ויחתימם על התחייבות לשמירת סודיות כאמור.</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נוכחות בעת החיפוש והתפיסה</w:t>
                </w:r>
              </w:p>
            </w:txbxContent>
          </v:textbox>
        </v:rect>
      </w:pict>
      <w:r>
        <w:rPr>
          <w:lang w:bidi="he-IL"/>
          <w:rFonts w:hint="cs" w:cs="FrankRuehl"/>
          <w:szCs w:val="34"/>
          <w:rtl/>
        </w:rPr>
        <w:t xml:space="preserve">16.</w:t>
      </w:r>
      <w:r>
        <w:rPr>
          <w:lang w:bidi="he-IL"/>
          <w:rFonts w:hint="cs" w:cs="FrankRuehl"/>
          <w:szCs w:val="26"/>
          <w:rtl/>
        </w:rPr>
        <w:tab/>
        <w:t xml:space="preserve">החיפוש והתפיסה ייערכו גם בנוכחות מי שנגדו ניתן הצו, או אדם אחר מטעמו, אלא אם כן החליט בית המשפט אחרת, מנימוקים מיוחדים שיירשמו.</w:t>
      </w:r>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וחשבון על כניסה, חיפוש ותפיסה</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כונס הנכסים יערוך דין וחשבון על הכניסה, החיפוש והתפיסה; הדין וחשבון יהיה ערוך לפי טופס 3 שבתוספת, וייחתם בידי כונס הנכסים והעדים; כונס הנכסים יחתים על הדין וחשבון גם את מי שנגדו ניתן הצו או מי מטעמו שהיה נוכח בשעת החיפוש והתפיסה, והם זכאים להעיר בו כל הערה ולקבל העתק ממנו; סירב מי שהיה נוכח בשעת החיפוש והתפיסה לחתום על הדין וחשבון, יציין כונס הנכסים בדין וחשבון את שמו ואת העובדה שסירב לחתום.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כונס הנכסים יגיש לבית המשפט, בתוך שבעה ימים מיום ביצוע החיפוש והתפיסה, את הדין וחשבון כאמור בתקנת משנה (א) וימציא העתקים ממנו לבעלי הדין.</w:t>
      </w:r>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סודיות וטענת סוד מסחרי</w:t>
                </w:r>
              </w:p>
            </w:txbxContent>
          </v:textbox>
        </v:rect>
      </w:pict>
      <w:r>
        <w:rPr>
          <w:lang w:bidi="he-IL"/>
          <w:rFonts w:hint="cs" w:cs="FrankRuehl"/>
          <w:szCs w:val="34"/>
          <w:rtl/>
        </w:rPr>
        <w:t xml:space="preserve">18.</w:t>
      </w:r>
      <w:r>
        <w:rPr>
          <w:lang w:bidi="he-IL"/>
          <w:rFonts w:hint="cs" w:cs="FrankRuehl"/>
          <w:szCs w:val="26"/>
          <w:rtl/>
        </w:rPr>
        <w:tab/>
        <w:t xml:space="preserve">היו בין הנכסים שנתפסו או שהועתקו, מסמכים, מחשב, חומר מחשב או פלט כהגדרתם בחוק המחשבים, התשנ"ה-1995, או נכסים שבעת החיפוש טען מי שנגדו ניתן הצו כי הם סוד מסחרי, יישארו נכסים כאמור בידי כונס הנכסים, והוא ישמור בסוד את תוכנם, ולא יגלה אותו אף למבקש, עד לקיום דיון במעמד כל הצדדים, שבו יכריע בית המשפט מה ייעשה בהם; בית המשפט רשאי לאפשר גילוי לפני קיום דיון כאמור, מטעמים מיוחדים שיירשמו.</w:t>
      </w:r>
    </w:p>
    <w:p>
      <w:pPr>
        <w:bidi/>
        <w:spacing w:before="45" w:after="50" w:line="250" w:lineRule="auto"/>
        <w:ind/>
        <w:jc w:val="both"/>
        <w:tabs>
          <w:tab w:pos="720"/>
          <w:tab w:pos="1440"/>
          <w:tab w:pos="2160"/>
          <w:tab w:pos="2880"/>
          <w:tab w:pos="3600"/>
        </w:tabs>
        <w:ind w:start="1440" w:hanging="144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החזקת הנכסים</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על כונס הנכסים להחזיק בנכסים שנתפסו על פי צו המינוי, עד שיחליט בית המשפט מה ייעשה בהם.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המשפט רשאי, בכל עת, לפי בקשת כונס הנכסים או אחד מבעלי הדין, להורות מה ייעשה בנכסים שנתפסו, לרבות מתן צו למכירתם של נכסים העלולים להתקלקל ולגבי אופן המכירה ודין דמי המכר.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ניתנה החלטה מה ייעשה בנכסים עד סיום הדיון בתובענה, יורה בית המשפט בסיום הדיון בתובענה מה ייעשה בהם; הורה בית המשפט על השמדת הנכסים – יורה מי יבצע את ההשמדה, באיזה אופן, והמועד שבו תבוצע.</w:t>
      </w:r>
    </w:p>
    <w:p>
      <w:pPr>
        <w:bidi/>
        <w:spacing w:before="70" w:after="5" w:line="250" w:lineRule="auto"/>
        <w:jc w:val="center"/>
      </w:pPr>
      <w:defaultTabStop w:val="720"/>
      <w:r>
        <w:rPr>
          <w:lang w:bidi="he-IL"/>
          <w:rFonts w:hint="cs" w:cs="FrankRuehl"/>
          <w:szCs w:val="26"/>
          <w:b/>
          <w:bCs/>
          <w:rtl/>
        </w:rPr>
        <w:t xml:space="preserve">סימן ג':הוראות בדבר הצטרפות צד שלישי</w:t>
      </w:r>
      <w:bookmarkStart w:name="h24" w:id="24"/>
      <w:bookmarkEnd w:id="24"/>
    </w:p>
    <w:p>
      <w:pPr>
        <w:bidi/>
        <w:spacing w:before="45" w:after="50" w:line="250" w:lineRule="auto"/>
        <w:ind/>
        <w:jc w:val="both"/>
        <w:tabs>
          <w:tab w:pos="720"/>
          <w:tab w:pos="1440"/>
          <w:tab w:pos="2160"/>
          <w:tab w:pos="2880"/>
          <w:tab w:pos="3600"/>
        </w:tabs>
        <w:ind w:start="1440" w:hanging="144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מטעם בית המשפט</w:t>
                </w:r>
              </w:p>
            </w:txbxContent>
          </v:textbox>
        </v:rect>
      </w:pict>
      <w:r>
        <w:rPr>
          <w:lang w:bidi="he-IL"/>
          <w:rFonts w:hint="cs" w:cs="FrankRuehl"/>
          <w:szCs w:val="34"/>
          <w:rtl/>
        </w:rPr>
        <w:t xml:space="preserve">20.</w:t>
        <w:tab/>
      </w:r>
      <w:r>
        <w:rPr>
          <w:lang w:bidi="he-IL"/>
          <w:rFonts w:hint="cs" w:cs="FrankRuehl"/>
          <w:szCs w:val="26"/>
          <w:rtl/>
        </w:rPr>
        <w:t xml:space="preserve">(א)</w:t>
      </w:r>
      <w:r>
        <w:rPr>
          <w:lang w:bidi="he-IL"/>
          <w:rFonts w:hint="cs" w:cs="FrankRuehl"/>
          <w:szCs w:val="26"/>
          <w:rtl/>
        </w:rPr>
        <w:tab/>
        <w:t xml:space="preserve">היו הנכסים או הראיות נושא צו המינוי מצויים בחזקתו של צד שלישי, ימציא לו כונס הנכסים, בעת ביצוע הצו, את הודעת בית המשפט על זכותו להצטרף להליך כאמור בסעיף 20(ב) לחוק, בצירוף העתקי המסמכים האמורים בתקנה 6(א).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הודיע בית המשפט לצד שלישי על זכותו להצטרף להליך כאמור בסעיף 20(ד) לחוק, יצורפו להודעת בית המשפט העתקי המסמכים האמורים בתקנה 6(א).</w:t>
      </w:r>
    </w:p>
    <w:p>
      <w:pPr>
        <w:bidi/>
        <w:spacing w:before="45" w:after="50" w:line="250" w:lineRule="auto"/>
        <w:ind/>
        <w:jc w:val="both"/>
        <w:tabs>
          <w:tab w:pos="720"/>
          <w:tab w:pos="1440"/>
          <w:tab w:pos="2160"/>
          <w:tab w:pos="2880"/>
          <w:tab w:pos="3600"/>
        </w:tabs>
        <w:ind w:start="1440" w:hanging="144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הודעת הצטרפות</w:t>
                </w:r>
              </w:p>
            </w:txbxContent>
          </v:textbox>
        </v:rect>
      </w:pict>
      <w:r>
        <w:rPr>
          <w:lang w:bidi="he-IL"/>
          <w:rFonts w:hint="cs" w:cs="FrankRuehl"/>
          <w:szCs w:val="34"/>
          <w:rtl/>
        </w:rPr>
        <w:t xml:space="preserve">21.</w:t>
        <w:tab/>
      </w:r>
      <w:r>
        <w:rPr>
          <w:lang w:bidi="he-IL"/>
          <w:rFonts w:hint="cs" w:cs="FrankRuehl"/>
          <w:szCs w:val="26"/>
          <w:rtl/>
        </w:rPr>
        <w:t xml:space="preserve">(א)</w:t>
      </w:r>
      <w:r>
        <w:rPr>
          <w:lang w:bidi="he-IL"/>
          <w:rFonts w:hint="cs" w:cs="FrankRuehl"/>
          <w:szCs w:val="26"/>
          <w:rtl/>
        </w:rPr>
        <w:tab/>
        <w:t xml:space="preserve">הצטרפות של צד שלישי לפי סעיף 20 לחוק, תהא בהודעה בכתב; ההודעה ומצורפיה יוגשו לבית המשפט במספר עותקים מספיק, לשם המצאה לכל בעלי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בהודעת הצטרפות יפורטו: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שמו של הצד השלישי, מספר זהותו, מקום מגוריו ומענו להמצאת כתבי בי-דין, ואם היה תאגיד – האופן שבו התאגד;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ענינו של הצד השלישי בבקשה לצו מינוי, לרבות אם יש לו זכויות בנכסים וטיבן של זכויות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עמדת הצד השלישי באשר לבקשה לצו מינוי.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להודעת הצטרפות יצורפו תצהיר, לשם אימות העובדות המשמשות יסוד להודעה וכן העתק כל מסמך שעליו היא נסמכת.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הוגשה הודעת הצטרפות, יומצא עותק ממנה וממצורפיה לכל בעלי הדין, יחד עם הודעה בדבר המועד לדיון, כאמור בסעיף 20(ה) לחוק.</w:t>
      </w:r>
    </w:p>
    <w:p>
      <w:pPr>
        <w:bidi/>
        <w:spacing w:before="70" w:after="5" w:line="250" w:lineRule="auto"/>
        <w:jc w:val="center"/>
      </w:pPr>
      <w:defaultTabStop w:val="720"/>
      <w:r>
        <w:rPr>
          <w:lang w:bidi="he-IL"/>
          <w:rFonts w:hint="cs" w:cs="FrankRuehl"/>
          <w:szCs w:val="26"/>
          <w:b/>
          <w:bCs/>
          <w:rtl/>
        </w:rPr>
        <w:t xml:space="preserve">פרק ג':שונות</w:t>
      </w:r>
      <w:bookmarkStart w:name="h27" w:id="27"/>
      <w:bookmarkEnd w:id="27"/>
    </w:p>
    <w:p>
      <w:pPr>
        <w:bidi/>
        <w:spacing w:before="45" w:after="50" w:line="250" w:lineRule="auto"/>
        <w:ind/>
        <w:jc w:val="both"/>
        <w:tabs>
          <w:tab w:pos="720"/>
          <w:tab w:pos="1440"/>
          <w:tab w:pos="2160"/>
          <w:tab w:pos="2880"/>
          <w:tab w:pos="3600"/>
        </w:tabs>
        <w:ind w:start="720" w:hanging="72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תקנות סדר הדין האזרחי ותקנות בית הדין לעבודה (סדרי דין)</w:t>
                </w:r>
              </w:p>
            </w:txbxContent>
          </v:textbox>
        </v:rect>
      </w:pict>
      <w:r>
        <w:rPr>
          <w:lang w:bidi="he-IL"/>
          <w:rFonts w:hint="cs" w:cs="FrankRuehl"/>
          <w:szCs w:val="34"/>
          <w:rtl/>
        </w:rPr>
        <w:t xml:space="preserve">22.</w:t>
      </w:r>
      <w:r>
        <w:rPr>
          <w:lang w:bidi="he-IL"/>
          <w:rFonts w:hint="cs" w:cs="FrankRuehl"/>
          <w:szCs w:val="26"/>
          <w:rtl/>
        </w:rPr>
        <w:tab/>
        <w:t xml:space="preserve">על הליכים על פי החוק בכל ענין שאינו מוסדר בתקנות אלה, יחולו, בשינויים המחויבים, תקנות סדר הדין האזרחי, ואולם על הליכים כאמור בפני בית הדין לעבודה, יחולו, בשינויים המחויבים, תקנות בית הדין לעבודה (סדרי דין), התשנ"ב-1991.</w:t>
      </w:r>
    </w:p>
    <w:p>
      <w:pPr>
        <w:bidi/>
        <w:spacing w:before="45" w:after="50" w:line="250" w:lineRule="auto"/>
        <w:ind/>
        <w:jc w:val="both"/>
        <w:tabs>
          <w:tab w:pos="720"/>
          <w:tab w:pos="1440"/>
          <w:tab w:pos="2160"/>
          <w:tab w:pos="2880"/>
          <w:tab w:pos="3600"/>
        </w:tabs>
        <w:ind w:start="720" w:hanging="72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w:t>
                </w:r>
              </w:p>
            </w:txbxContent>
          </v:textbox>
        </v:rect>
      </w:pict>
      <w:r>
        <w:rPr>
          <w:lang w:bidi="he-IL"/>
          <w:rFonts w:hint="cs" w:cs="FrankRuehl"/>
          <w:szCs w:val="34"/>
          <w:rtl/>
        </w:rPr>
        <w:t xml:space="preserve">23.</w:t>
      </w:r>
      <w:r>
        <w:rPr>
          <w:lang w:bidi="he-IL"/>
          <w:rFonts w:hint="cs" w:cs="FrankRuehl"/>
          <w:szCs w:val="26"/>
          <w:rtl/>
        </w:rPr>
        <w:tab/>
        <w:t xml:space="preserve">הוראות פרקים א' וב' יחולו, כפוף לסעיף 12 לחוק, על העוולות של גניבת עין וגזל סוד מסחרי בלבד.</w:t>
      </w:r>
    </w:p>
    <w:p>
      <w:pPr>
        <w:bidi/>
        <w:spacing w:before="45" w:after="50" w:line="250" w:lineRule="auto"/>
        <w:ind/>
        <w:jc w:val="both"/>
        <w:tabs>
          <w:tab w:pos="720"/>
          <w:tab w:pos="1440"/>
          <w:tab w:pos="2160"/>
          <w:tab w:pos="2880"/>
          <w:tab w:pos="3600"/>
        </w:tabs>
        <w:ind w:start="720" w:hanging="72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24.</w:t>
      </w:r>
      <w:r>
        <w:rPr>
          <w:lang w:bidi="he-IL"/>
          <w:rFonts w:hint="cs" w:cs="FrankRuehl"/>
          <w:szCs w:val="26"/>
          <w:rtl/>
        </w:rPr>
        <w:tab/>
        <w:t xml:space="preserve">תחילתן של תקנות אלה ביום תחילתו של החוק.</w:t>
      </w:r>
    </w:p>
    <w:p>
      <w:pPr>
        <w:bidi/>
        <w:spacing w:before="70" w:after="5" w:line="250" w:lineRule="auto"/>
        <w:jc w:val="center"/>
      </w:pPr>
      <w:defaultTabStop w:val="720"/>
      <w:bookmarkStart w:name="h31" w:id="31"/>
      <w:bookmarkEnd w:id="31"/>
    </w:p>
    <w:p>
      <w:pPr>
        <w:bidi/>
        <w:spacing w:before="70" w:after="5" w:line="250" w:lineRule="auto"/>
        <w:jc w:val="center"/>
      </w:pPr>
      <w:defaultTabStop w:val="720"/>
      <w:r>
        <w:rPr>
          <w:lang w:bidi="he-IL"/>
          <w:rFonts w:hint="cs" w:cs="FrankRuehl"/>
          <w:szCs w:val="26"/>
          <w:b/>
          <w:bCs/>
          <w:rtl/>
        </w:rPr>
        <w:t xml:space="preserve">תוספת</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
(תקנה 4(א))
 </w:t>
      </w:r>
      <w:hyperlink xmlns:r="http://schemas.openxmlformats.org/officeDocument/2006/relationships" w:history="true" r:id="R15f99d06bb294ef9">
        <w:r>
          <w:rPr>
            <w:rStyle w:val="Hyperlink"/>
            <w:u w:val="single"/>
            <w:color w:themeColor="hyperlink"/>
          </w:rPr>
          <w:t>צו מינוי כונס נכסים</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2
(תקנה 7)
</w:t>
      </w:r>
      <w:hyperlink xmlns:r="http://schemas.openxmlformats.org/officeDocument/2006/relationships" w:history="true" r:id="R7ff2a75131ad458e">
        <w:r>
          <w:rPr>
            <w:rStyle w:val="Hyperlink"/>
            <w:u w:val="single"/>
            <w:color w:themeColor="hyperlink"/>
          </w:rPr>
          <w:t>ערובה של כונס הנכסים</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3
(תקנה 17(א))
</w:t>
      </w:r>
      <w:hyperlink xmlns:r="http://schemas.openxmlformats.org/officeDocument/2006/relationships" w:history="true" r:id="Ra4e52255d69742f7">
        <w:r>
          <w:rPr>
            <w:rStyle w:val="Hyperlink"/>
            <w:u w:val="single"/>
            <w:color w:themeColor="hyperlink"/>
          </w:rPr>
          <w:t>דין וחשבון על כניסה, חיפוש ותפיסה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יוסף ביילין</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עוולות מסחריות (סעדים וסדרי דין), התש"ס-1999,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eba8bd225e30484f" /><Relationship Type="http://schemas.openxmlformats.org/officeDocument/2006/relationships/hyperlink" Target="https://www.nevo.co.il/lawattachments/604b674e0f7d0e7d1f48781e/95cce381-a4b3-48bb-9e60-829dadd1431c.doc" TargetMode="External" Id="R15f99d06bb294ef9" /><Relationship Type="http://schemas.openxmlformats.org/officeDocument/2006/relationships/hyperlink" Target="https://www.nevo.co.il/lawattachments/604b674e0f7d0e7d1f48781e/9c2291f0-c9df-4f7d-8452-4e20dc211f12.doc" TargetMode="External" Id="R7ff2a75131ad458e" /><Relationship Type="http://schemas.openxmlformats.org/officeDocument/2006/relationships/hyperlink" Target="https://www.nevo.co.il/lawattachments/604b674e0f7d0e7d1f48781e/9f9bec62-5603-4c91-a9a8-1a93abb0cf3e.doc" TargetMode="External" Id="Ra4e52255d69742f7" /><Relationship Type="http://schemas.openxmlformats.org/officeDocument/2006/relationships/header" Target="/word/header1.xml" Id="r97" /><Relationship Type="http://schemas.openxmlformats.org/officeDocument/2006/relationships/footer" Target="/word/footer1.xml" Id="r98" /></Relationships>
</file>