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64bd9deedf7430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פיקוח על בתי ספר (סדרי הדין בועדת ערר), תשל"ב-1972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הכנת תיק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בתיק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הערר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העתקים לכל חברי הועדה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התיק ותשובת המנכ"ל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הועדה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הערר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יסוד חומר בכתב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היו"ר להפסיק דיונים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נתונים נוספים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כבילות לדיני הראיות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נימוקים נוספים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בהרכב</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פיקוח על בתי ספר (סדרי הדין בועדת ערר), תשל"ב-1972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14(ג) לחוק פיקוח על בתי-ספר, תשכ"ט-1969,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ועדת ערר שמונתה לפי סעיף 14(א)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 יושב ראש הועדה;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 מי שהשר מינהו לכהן כמרכז הועדה;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"ערר" – כמשמעותו בסעיף 13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כמשמעותו בתקנה 1 לתקנות סדר הדין האזרחי, תשכ"ג-1963, לרבות חוות דעת של מומחה ותעודת עובד ציבור.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הכנת תיק</w:t>
                </w:r>
              </w:p>
            </w:txbxContent>
          </v:textbox>
        </v:rect>
      </w:pict>
      <w:r>
        <w:rPr>
          <w:lang w:bidi="he-IL"/>
          <w:rFonts w:hint="cs" w:cs="FrankRuehl"/>
          <w:szCs w:val="34"/>
          <w:rtl/>
        </w:rPr>
        <w:t xml:space="preserve">2.</w:t>
      </w:r>
      <w:r>
        <w:rPr>
          <w:lang w:bidi="he-IL"/>
          <w:rFonts w:hint="cs" w:cs="FrankRuehl"/>
          <w:szCs w:val="26"/>
          <w:rtl/>
        </w:rPr>
        <w:tab/>
        <w:t xml:space="preserve">סירב המנהל הכללי ליתן לאדם רשיון לפתוח, לקיים או להעביר בית ספר לאחר, או ביטל המנהל הכללי רשיון כאמור, יכין, עם ההודעה על הסירוב או על הביטול, תיק מיוחד (להלן – התיק) שבו יתוייקו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הבקשה למתן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המצורפות לבקשה כמפורט בתקנות פיקוח על בתי-ספר (בקשה לרשיון), תש"ל-1970, או המסמכים וההתחייבות כאמור בתקנות פיקוח על בתי ספר (בקשה להעברת רשיון), 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ממצאים לגבי האמור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פרטים אחרים הקשורים בהחלטת המנהל הכללי לסרב לבקשה אם הסירוב נובע מסיבה שאינה מפורטת בסעיף 9(א)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בתיק</w:t>
                </w:r>
              </w:p>
            </w:txbxContent>
          </v:textbox>
        </v:rect>
      </w:pict>
      <w:r>
        <w:rPr>
          <w:lang w:bidi="he-IL"/>
          <w:rFonts w:hint="cs" w:cs="FrankRuehl"/>
          <w:szCs w:val="34"/>
          <w:rtl/>
        </w:rPr>
        <w:t xml:space="preserve">3.</w:t>
      </w:r>
      <w:r>
        <w:rPr>
          <w:lang w:bidi="he-IL"/>
          <w:rFonts w:hint="cs" w:cs="FrankRuehl"/>
          <w:szCs w:val="26"/>
          <w:rtl/>
        </w:rPr>
        <w:tab/>
        <w:t xml:space="preserve">אדם שהמנהל הכללי סירב ליתן לו רשיון או סירב לבקשתו להעביר את רשיונו לאחר, או שביטל את רשיונו, יהא רשאי לעיין בתיק תוך עשרים ואחד יום מיום שנמסר לו הסירוב.</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הערר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אדם רשאי להגיש ערר לועדה על סירוב המנהל הכללי ליתן לו רשיון או להרשות העברת הרשיון לאחר או על ביטול רשיונו בידי המנהל הכללי, למרכז ועדת הערר במשרד החינוך והתרבות, רחוב שבטי ישראל 34, 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הערר יוגש בכתב בחמישה עתקים ויימסר ביד נגד אישור קבלתו.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נוסח הערר יהיה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כתב הערר ילווה בתצהיר של העורר על אמיתות פרטי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ראיה וכל מסמך שברצון העורר להביא בפני הועדה יצויינו בתצהיר.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העתקים לכל חברי הועדה</w:t>
                </w:r>
              </w:p>
            </w:txbxContent>
          </v:textbox>
        </v:rect>
      </w:pict>
      <w:r>
        <w:rPr>
          <w:lang w:bidi="he-IL"/>
          <w:rFonts w:hint="cs" w:cs="FrankRuehl"/>
          <w:szCs w:val="34"/>
          <w:rtl/>
        </w:rPr>
        <w:t xml:space="preserve">5.</w:t>
      </w:r>
      <w:r>
        <w:rPr>
          <w:lang w:bidi="he-IL"/>
          <w:rFonts w:hint="cs" w:cs="FrankRuehl"/>
          <w:szCs w:val="26"/>
          <w:rtl/>
        </w:rPr>
        <w:tab/>
        <w:t xml:space="preserve">המרכז ישלח עותק של הערר אל היושב ראש ואל כל חבר של הועדה.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התיק ותשובת המנכ"ל</w:t>
                </w:r>
              </w:p>
            </w:txbxContent>
          </v:textbox>
        </v:rect>
      </w:pict>
      <w:r>
        <w:rPr>
          <w:lang w:bidi="he-IL"/>
          <w:rFonts w:hint="cs" w:cs="FrankRuehl"/>
          <w:szCs w:val="34"/>
          <w:rtl/>
        </w:rPr>
        <w:t xml:space="preserve">6.</w:t>
      </w:r>
      <w:r>
        <w:rPr>
          <w:lang w:bidi="he-IL"/>
          <w:rFonts w:hint="cs" w:cs="FrankRuehl"/>
          <w:szCs w:val="26"/>
          <w:rtl/>
        </w:rPr>
        <w:tab/>
        <w:t xml:space="preserve">אחרי תום המועד האמור בתקנה 3, ישלח המנהל הכללי ליושב ראש את התיק יחד עם תשובתו המאומתת בתצהיר בארבעה עותקים; המרכז ישלח עותק אחד מתשובת המנהל הכללי אל המערער.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הועדה</w:t>
                </w:r>
              </w:p>
            </w:txbxContent>
          </v:textbox>
        </v:rect>
      </w:pict>
      <w:r>
        <w:rPr>
          <w:lang w:bidi="he-IL"/>
          <w:rFonts w:hint="cs" w:cs="FrankRuehl"/>
          <w:szCs w:val="34"/>
          <w:rtl/>
        </w:rPr>
        <w:t xml:space="preserve">7.</w:t>
      </w:r>
      <w:r>
        <w:rPr>
          <w:lang w:bidi="he-IL"/>
          <w:rFonts w:hint="cs" w:cs="FrankRuehl"/>
          <w:szCs w:val="26"/>
          <w:rtl/>
        </w:rPr>
        <w:tab/>
        <w:t xml:space="preserve">היושב ראש יקבע את המקום והמועד לישיבת הועדה ויזמין את המערער ואת המנהל הכללי או בא כוחו לישיבה כאמור תוך ציון מקום הישיבה.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הערר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הועדה רשאית למחוק את הערר בכל אחד מהמקרים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הערר לא הוגש בהתאם לתקנה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העורר לא הופיע בפני הועדה בימים שנקבעו לכך, אלא אם היו נסיבות שלא היו לו שליטה עליהן והוא הודיע עליהן לועדה תוך עשרה ימים מיום הישיבה.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עורר שנמחק עררו רשאי להגישו פעם אחת נוספת בלבד תוך שבעה ימים לאחר שהודיעו לו על המחיקה; ערר שנמחק פעם שניה מאותה סיבה – לא יישמע שנית.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יסוד חומר בכתב</w:t>
                </w:r>
              </w:p>
            </w:txbxContent>
          </v:textbox>
        </v:rect>
      </w:pict>
      <w:r>
        <w:rPr>
          <w:lang w:bidi="he-IL"/>
          <w:rFonts w:hint="cs" w:cs="FrankRuehl"/>
          <w:szCs w:val="34"/>
          <w:rtl/>
        </w:rPr>
        <w:t xml:space="preserve">9.</w:t>
      </w:r>
      <w:r>
        <w:rPr>
          <w:lang w:bidi="he-IL"/>
          <w:rFonts w:hint="cs" w:cs="FrankRuehl"/>
          <w:szCs w:val="26"/>
          <w:rtl/>
        </w:rPr>
        <w:tab/>
        <w:t xml:space="preserve">לא ביקשו העורר והמנהל הכללי או בא כוחו להשמיע טענותיהם בפני הועדה, רשאית הועדה לתת את החלטתה על יסוד החומר בכתב שהובא בפניה.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הדיונים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העורר יטען 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הועדה והמנהל הכללי או בא-כוחו רשאים לחקור את העורר או את העדים שחתמו על תצהירים בכל דבר הנוגע לראיה או למסמכים שהוגשו או לבית הספר שלגביו הוגש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סיום דברי העורר ושמיעת עדיו, אם היו כאלה, תשמע הועדה את המנהל הכללי או בא-כוחו ואת העדים שחתמו על תצהירים ומסמכים, אם אלה צויינו בתשובתו לערר.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חברי הועדה והעורר רשאים לחקור את המנהל הכללי או בא כוחו ואת העדים שהגישו תצהירים בכל דבר הנוגע לעדים ולמסמכים שהוגשו או לבית הספר שלגביו הוגש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היושב ראש רשאי להרשות לעורר ולמנהל הכללי או בא כוחו להביא עדים נוספים או להגיש מסמכים נוספים על אף שאלה לא הוזכרו בכתב הערר או בתשובה, אם ראה צורך בכך לשם הבהרת הענין.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פרוטוקול על מהלך הדיון בפני הועדה ינוהל בידי היושב ראש או בידי מי שהוא מינה לכך וייחתם ביד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המסמכים שקיבלה הועדה, לרבות התיק, יצורפו לפרוטוקול ויהוו חלק בלתי נפרד ממנו.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היו"ר להפסיק דיונים</w:t>
                </w:r>
              </w:p>
            </w:txbxContent>
          </v:textbox>
        </v:rect>
      </w:pict>
      <w:r>
        <w:rPr>
          <w:lang w:bidi="he-IL"/>
          <w:rFonts w:hint="cs" w:cs="FrankRuehl"/>
          <w:szCs w:val="34"/>
          <w:rtl/>
        </w:rPr>
        <w:t xml:space="preserve">12.</w:t>
      </w:r>
      <w:r>
        <w:rPr>
          <w:lang w:bidi="he-IL"/>
          <w:rFonts w:hint="cs" w:cs="FrankRuehl"/>
          <w:szCs w:val="26"/>
          <w:rtl/>
        </w:rPr>
        <w:tab/>
        <w:t xml:space="preserve">היושב ראש רשאי, בהסכמת שאר חברי הועדה, להפסיק כל מתן עדות בפני הועדה, אם ראה שהמשך השמעת העדות אינו לענין ומהווה הטרדה או גורם לאיבוד זמן.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נתונים נוספים</w:t>
                </w:r>
              </w:p>
            </w:txbxContent>
          </v:textbox>
        </v:rect>
      </w:pict>
      <w:r>
        <w:rPr>
          <w:lang w:bidi="he-IL"/>
          <w:rFonts w:hint="cs" w:cs="FrankRuehl"/>
          <w:szCs w:val="34"/>
          <w:rtl/>
        </w:rPr>
        <w:t xml:space="preserve">13.</w:t>
      </w:r>
      <w:r>
        <w:rPr>
          <w:lang w:bidi="he-IL"/>
          <w:rFonts w:hint="cs" w:cs="FrankRuehl"/>
          <w:szCs w:val="26"/>
          <w:rtl/>
        </w:rPr>
        <w:tab/>
        <w:t xml:space="preserve">הועדה רשאית לדחות את המשך דיוניה ולאסוף ראיות ומסמכים נוספים בכל מקום שתמצא לנכון, לרבות בדיקה בשטח של בית הספר של העורר.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כבילות לדיני הראיות</w:t>
                </w:r>
              </w:p>
            </w:txbxContent>
          </v:textbox>
        </v:rect>
      </w:pict>
      <w:r>
        <w:rPr>
          <w:lang w:bidi="he-IL"/>
          <w:rFonts w:hint="cs" w:cs="FrankRuehl"/>
          <w:szCs w:val="34"/>
          <w:rtl/>
        </w:rPr>
        <w:t xml:space="preserve">14.</w:t>
      </w:r>
      <w:r>
        <w:rPr>
          <w:lang w:bidi="he-IL"/>
          <w:rFonts w:hint="cs" w:cs="FrankRuehl"/>
          <w:szCs w:val="26"/>
          <w:rtl/>
        </w:rPr>
        <w:tab/>
        <w:t xml:space="preserve">הועדה לא תהיה קשורה בדיני הראיות ובסדרי הדין הנהוגים בבתי המשפט והיא רשאית לקבל כל ראיה בכל דרך הנראית לה מועילה.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נימוקים נוספים</w:t>
                </w:r>
              </w:p>
            </w:txbxContent>
          </v:textbox>
        </v:rect>
      </w:pict>
      <w:r>
        <w:rPr>
          <w:lang w:bidi="he-IL"/>
          <w:rFonts w:hint="cs" w:cs="FrankRuehl"/>
          <w:szCs w:val="34"/>
          <w:rtl/>
        </w:rPr>
        <w:t xml:space="preserve">15.</w:t>
      </w:r>
      <w:r>
        <w:rPr>
          <w:lang w:bidi="he-IL"/>
          <w:rFonts w:hint="cs" w:cs="FrankRuehl"/>
          <w:szCs w:val="26"/>
          <w:rtl/>
        </w:rPr>
        <w:tab/>
        <w:t xml:space="preserve">לא תיזקק הועדה לכל נימוק שלא הוזכר בערר, אלא אם ראתה ששמיעת הנימוק הנוסף דרושה מטעמים שיירשמו.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בהרכב</w:t>
                </w:r>
              </w:p>
            </w:txbxContent>
          </v:textbox>
        </v:rect>
      </w:pict>
      <w:r>
        <w:rPr>
          <w:lang w:bidi="he-IL"/>
          <w:rFonts w:hint="cs" w:cs="FrankRuehl"/>
          <w:szCs w:val="34"/>
          <w:rtl/>
        </w:rPr>
        <w:t xml:space="preserve">16.</w:t>
      </w:r>
      <w:r>
        <w:rPr>
          <w:lang w:bidi="he-IL"/>
          <w:rFonts w:hint="cs" w:cs="FrankRuehl"/>
          <w:szCs w:val="26"/>
          <w:rtl/>
        </w:rPr>
        <w:tab/>
        <w:t xml:space="preserve">נבצר מחבר הועדה להמשיך בשמיעת הערר, רשאית הועדה להמשיך בהרכב אחר מן השלב שאליו הגיע הדיון, ורואים את הדיון שקויים בהרכבו הקודם כאילו היה בהרכב החדש.</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w:t>
                </w:r>
              </w:p>
            </w:txbxContent>
          </v:textbox>
        </v:rect>
      </w:pict>
      <w:r>
        <w:rPr>
          <w:lang w:bidi="he-IL"/>
          <w:rFonts w:hint="cs" w:cs="FrankRuehl"/>
          <w:szCs w:val="34"/>
          <w:rtl/>
        </w:rPr>
        <w:t xml:space="preserve">17.</w:t>
      </w:r>
      <w:r>
        <w:rPr>
          <w:lang w:bidi="he-IL"/>
          <w:rFonts w:hint="cs" w:cs="FrankRuehl"/>
          <w:szCs w:val="26"/>
          <w:rtl/>
        </w:rPr>
        <w:tab/>
        <w:t xml:space="preserve">החלטת הועדה תתקבל ברוב דעות והיא תהיה מנומקת; המרכז ישלח העתק ממנה חתום בידי היושב ראש ובידי יתר חברי הועדה לעורר ולמנהל הכללי.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19.</w:t>
      </w:r>
      <w:r>
        <w:rPr>
          <w:lang w:bidi="he-IL"/>
          <w:rFonts w:hint="cs" w:cs="FrankRuehl"/>
          <w:szCs w:val="26"/>
          <w:rtl/>
        </w:rPr>
        <w:tab/>
        <w:t xml:space="preserve">על ערר שהוגש לפני פרסומן של תקנות אלה לא יחולו הוראות תקנות 2, 3 ו-6.</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20.</w:t>
      </w:r>
      <w:r>
        <w:rPr>
          <w:lang w:bidi="he-IL"/>
          <w:rFonts w:hint="cs" w:cs="FrankRuehl"/>
          <w:szCs w:val="26"/>
          <w:rtl/>
        </w:rPr>
        <w:tab/>
        <w:t xml:space="preserve">לתקנות אלה ייקרא "תקנות פיקוח על בתי ספר (סדרי הדין בועדת ערר), תשל"ב-1972".</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2c2a5b326f54dde">
        <w:r>
          <w:rPr>
            <w:rStyle w:val="Hyperlink"/>
            <w:u w:val="single"/>
            <w:color w:themeColor="hyperlink"/>
          </w:rPr>
          <w:t>בקשה לערור על סירוב מתן רשיון לפתוח, לקיים או להעביר בית-ספר, או על ביטול רשיון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פיקוח על בתי ספר (סדרי הדין בועדת ערר), תשל"ב-1972, נוסח עדכני נכון ליום 18.08.2022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03b85e194eb4dd8" /><Relationship Type="http://schemas.openxmlformats.org/officeDocument/2006/relationships/hyperlink" Target="https://www.nevo.co.il/lawattachments/62e57cd32fa3042bfb7ede4c/4f345c4a-bc63-4fb5-bf8d-a01d8b6078aa.doc" TargetMode="External" Id="R32c2a5b326f54dde" /><Relationship Type="http://schemas.openxmlformats.org/officeDocument/2006/relationships/header" Target="/word/header1.xml" Id="r97" /><Relationship Type="http://schemas.openxmlformats.org/officeDocument/2006/relationships/footer" Target="/word/footer1.xml" Id="r98" /></Relationships>
</file>