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fd6d28873ee4e6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שמירת הנקיון (היטל לשמירת הנקיון), תשמ"ז-1987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היטל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תשלום ההיטל וגבייתו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שמירת הנקיון (היטל לשמירת הנקיון), תשמ"ז-1987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11 ו-16 לחוק שמירת הנקיון, התשמ"ד-1984 (להלן – החוק), בהסכמת שר האוצר ובאישור ועדת הפנים ואיכות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"היטל" – היטל לשמירת הנקיון כאמור בסעיף 11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"הקרן" – הקרן לשמירת הנקיון כאמור בסעיף 10(א)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למשקה" – כמשמעותו בחוק;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"מכירה" – התמורה המשולמת ליצרן של מכלים למשקאות בעד מכירתם, למעט מכירה ליצוא;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"ריבית" – (נמחקה).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היטל</w:t>
                </w:r>
              </w:p>
            </w:txbxContent>
          </v:textbox>
        </v:rect>
      </w:pict>
      <w:r>
        <w:rPr>
          <w:lang w:bidi="he-IL"/>
          <w:rFonts w:hint="cs" w:cs="FrankRuehl"/>
          <w:szCs w:val="34"/>
          <w:rtl/>
        </w:rPr>
        <w:t xml:space="preserve">2.</w:t>
      </w:r>
      <w:r>
        <w:rPr>
          <w:lang w:bidi="he-IL"/>
          <w:rFonts w:hint="cs" w:cs="FrankRuehl"/>
          <w:szCs w:val="26"/>
          <w:rtl/>
        </w:rPr>
        <w:tab/>
        <w:t xml:space="preserve">נקבע בזה היטל על יצרנים ויבואנים של מכלים למשקאות בשיעורים כלהלן: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יצרנים – 0.25 אחוז מסך כל המכירות של מכלים למשקאות;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יבואנים – 0.25 אחוז מערך היבוא של מכלים למשקאות, כפי שנקבע לענין דיני המכס.</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תשלום ההיטל וגבייתו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ההיטל ישולם לקרן באמצעות חשב משרד הפנים, באופן שתקבע הנהלת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תשלום ההיטל יבוצע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יצרן מכלים למשקאות ישלם את סכום ההיטל בשעור המפורט בתקנה 2(1) בכל חודש עד ה-15 בו, בעד החודש שקדם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יבואן מכלים למשקאות ישלם את סכום ההיטל בשיעור המפורט בתקנה 2(2) בעת היבוא ויציג אישור בדבר התשלום בפני פקיד המכס.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היטל שלא שולם במועדו בידי החייב יתווספו עליו הפרשי הצמדה וריבית, כהגדרתם בחוק פסיקת ריבית והצמדה, התשכ"א-1961, ממועד הפרעון עד התשלום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במקביל לביצוע התשלום, יעביר המשלם הודעה בכתב על העברת סכום ההיטל למרכז פעולות הנהלת הקרן, באופן שתקבע הנהלת הקרן; ההודעה תיערך לפי דוגמת טופס שתקבע הנהלת הקרן, תכלול את פירוט החישוב לקביעת הסכום ששולם ותהיה חתומה ומאושרת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מרכז פעולות הנהלת הקרן ישלח למשלם ההיטל אישור בדבר קבלת התשלום וההודעה כאמור בתקנת משנה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 שחייב בתשלום היטל ימציא בתום כל שנת כספים של עסקו, ולא יאוחר מששה חדשים מתום שנת כספים כאמור, דין וחשבון שנתי שיפרט את המכירות או היבוא של מכלים למשקה, לפי הענין, ואת תשלומי ההיטל ששילם לקרן, כשהוא חתום ומאושר בידי רואה חשבון.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חשב משרד הפנים או נציגו לענין זה רשאי לבדוק ולבקר את הנתונים שנמסרו, והחייב בתשלום ההיטל יעמיד לרשותם את החומר ששימש בסיס לעריכת המסמכים כאמור בתקנת משנה (ו).</w:t>
      </w:r>
    </w:p>
    <w:p>
      <w:pPr>
        <w:bidi/>
        <w:spacing w:before="45" w:after="50" w:line="250" w:lineRule="auto"/>
        <w:ind/>
        <w:jc w:val="both"/>
        <w:tabs>
          <w:tab w:pos="720"/>
          <w:tab w:pos="1440"/>
          <w:tab w:pos="2160"/>
          <w:tab w:pos="2880"/>
          <w:tab w:pos="3600"/>
        </w:tabs>
        <w:ind w:start="720" w:hanging="720"/>
      </w:pPr>
      <w:defaultTabStop w:val="720"/>
      <w:bookmarkStart w:name="h4" w:id="4"/>
      <w:bookmarkEnd w:id="4"/>
      <w:r>
        <w:rPr>
          <w:lang w:bidi="he-IL"/>
          <w:rFonts w:hint="cs" w:cs="FrankRuehl"/>
          <w:szCs w:val="34"/>
          <w:rtl/>
        </w:rPr>
        <w:t xml:space="preserve">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פרוץ</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שמירת הנקיון (היטל לשמירת הנקיון), תשמ"ז-1987,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e25d1666dd24da2" /><Relationship Type="http://schemas.openxmlformats.org/officeDocument/2006/relationships/header" Target="/word/header1.xml" Id="r97" /><Relationship Type="http://schemas.openxmlformats.org/officeDocument/2006/relationships/footer" Target="/word/footer1.xml" Id="r98" /></Relationships>
</file>