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8ee99c61d5f4a9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חמרת רמת הכובש, לפי תוכנית מס' 417-0427146),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חמרת רמת הכובש, לפי תוכנית מס' 417-0427146),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בדרום השרון ממזרח לקיבוץ רמת הכובש ומדרום לטירה, צבוע בירוק, מקווקו בקווים אלכסוניים ומצולבים ירוקים ומוקף בקו כחול, בתשריט מס' ש/מר/417-0427146 הערוך בקנה מידה 1:500 והחתום ביום כ"א בחשוון התשפ"ג (15 בנובמבר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המרכז ברמלה, ובמשרדי הוועדה המקומית לתכנון ולבנייה דרום השרון,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דרום השרון, שבו חלה תוכנית מס' 417-0427146, שניתן לה תוקף בהודעה שפורסמה בילקוט הפרסומים 8377, מיום ד' באב התשע"ט (5 באוגוסט 2019), עמ' 13559, והוא כולל גוש וחלקת רישום קרקע אלה:
גוש 7583 – חלקי חלקה 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חמרת רמת הכובש, לפי תוכנית מס' 417-0427146),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8ffda931d204cfb" /><Relationship Type="http://schemas.openxmlformats.org/officeDocument/2006/relationships/header" Target="/word/header1.xml" Id="r97" /><Relationship Type="http://schemas.openxmlformats.org/officeDocument/2006/relationships/footer" Target="/word/footer1.xml" Id="r98" /></Relationships>
</file>