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a269750f14bd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5),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5),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הרשות המקומית הנוגעת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המפורט להלן מוכרז בזה מתחם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רמלה – מתחם שוק יום ד': גוש 4374, חלקות 4, 6, 27-24, 30, 59-46, גוש 5618, חלקות 9, 16, 17, 22-19, גוש 5619, חלקות 12-1, 16, גוש 5620, חלקה 1, גוש 5729, חלקות 4-2, 6, 7, 9, 10, 18, גוש 5730, חלקות 4-2, גוש 5791, חלקות 5-1, 7, גוש 5792, חלקות 3-1, 13-5, גוש 5793, חלקות 3-1, 5, גוש 5796, חלקות 7-1, 10, 11, גוש 5797, חלקה 1, גוש 5798, חלקות 7-1, גוש 5799, חלקות 2, 3, 6, 8, גוש 5800, חלקות 6-1, 10-8, 12, 13.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5),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2388b70111340e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