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e1506c381d6477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איסור הכחשת השואה, תשמ"ו-1986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הכחשת השואה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פרסום אהדה לפשעי הנאצים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מותר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אישום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חוק איסור הכחשת השואה, תשמ"ו-1986</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"פשע כלפי העם היהודי" ו"פשע כלפי האנושות" – כמשמעותם בחוק לעשיית דין בנאצים ובעוזריהם, התש"י-1950.</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הכחשת השואה</w:t>
                </w:r>
              </w:p>
            </w:txbxContent>
          </v:textbox>
        </v:rect>
      </w:pict>
      <w:r>
        <w:rPr>
          <w:lang w:bidi="he-IL"/>
          <w:rFonts w:hint="cs" w:cs="FrankRuehl"/>
          <w:szCs w:val="34"/>
          <w:rtl/>
        </w:rPr>
        <w:t xml:space="preserve">2.</w:t>
      </w:r>
      <w:r>
        <w:rPr>
          <w:lang w:bidi="he-IL"/>
          <w:rFonts w:hint="cs" w:cs="FrankRuehl"/>
          <w:szCs w:val="26"/>
          <w:rtl/>
        </w:rPr>
        <w:tab/>
        <w:t xml:space="preserve">המפרסם, בכתב או בעל פה, דברים המכחישים את המעשים שבוצעו בתקופת השלטון הנאצי ושהם פשעים כלפי העם היהודי או פשעים כלפי האנושות, או ממעיטים את ממדיהם, בכוונה להגן על מבצעי הפשעים הללו או להביע להם אהדה או הזדהות, דינו – מאסר חמש שנים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פרסום אהדה לפשעי הנאצים</w:t>
                </w:r>
              </w:p>
            </w:txbxContent>
          </v:textbox>
        </v:rect>
      </w:pict>
      <w:r>
        <w:rPr>
          <w:lang w:bidi="he-IL"/>
          <w:rFonts w:hint="cs" w:cs="FrankRuehl"/>
          <w:szCs w:val="34"/>
          <w:rtl/>
        </w:rPr>
        <w:t xml:space="preserve">3.</w:t>
      </w:r>
      <w:r>
        <w:rPr>
          <w:lang w:bidi="he-IL"/>
          <w:rFonts w:hint="cs" w:cs="FrankRuehl"/>
          <w:szCs w:val="26"/>
          <w:rtl/>
        </w:rPr>
        <w:tab/>
        <w:t xml:space="preserve">המפרסם, בכתב או בעל פה, דברים של שבח, אהדה או הזדהות למעשים שנעשו בתקופת השלטון הנאצי ושהם פשעים כלפי העם היהודי או פשעים כלפי האנושות, דינו – מאסר חמש שנים.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מותר</w:t>
                </w:r>
              </w:p>
            </w:txbxContent>
          </v:textbox>
        </v:rect>
      </w:pict>
      <w:r>
        <w:rPr>
          <w:lang w:bidi="he-IL"/>
          <w:rFonts w:hint="cs" w:cs="FrankRuehl"/>
          <w:szCs w:val="34"/>
          <w:rtl/>
        </w:rPr>
        <w:t xml:space="preserve">4.</w:t>
      </w:r>
      <w:r>
        <w:rPr>
          <w:lang w:bidi="he-IL"/>
          <w:rFonts w:hint="cs" w:cs="FrankRuehl"/>
          <w:szCs w:val="26"/>
          <w:rtl/>
        </w:rPr>
        <w:tab/>
        <w:t xml:space="preserve">פרסום דין וחשבון נכון והוגן על פרסום האסור לפי חוק זה לא יראו כעבירה לפי חוק זה, ובלבד שלא נעשה מתוך כוונה להביע אהדה או הזדהות עם מבצעי הפשעים כלפי העם היהודי או כלפי האנושות.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אישום</w:t>
                </w:r>
              </w:p>
            </w:txbxContent>
          </v:textbox>
        </v:rect>
      </w:pict>
      <w:r>
        <w:rPr>
          <w:lang w:bidi="he-IL"/>
          <w:rFonts w:hint="cs" w:cs="FrankRuehl"/>
          <w:szCs w:val="34"/>
          <w:rtl/>
        </w:rPr>
        <w:t xml:space="preserve">5.</w:t>
      </w:r>
      <w:r>
        <w:rPr>
          <w:lang w:bidi="he-IL"/>
          <w:rFonts w:hint="cs" w:cs="FrankRuehl"/>
          <w:szCs w:val="26"/>
          <w:rtl/>
        </w:rPr>
        <w:tab/>
        <w:t xml:space="preserve">כתב אישום על עבירות לפי חוק זה לא יוגש אלא בידי היועץ המשפטי לממשלה או בהסכמתו.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יצחק מודעי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איסור הכחשת השואה, תשמ"ו-1986, נוסח עדכני נכון ליום 29.09.2022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3601bcf340e4260" /><Relationship Type="http://schemas.openxmlformats.org/officeDocument/2006/relationships/header" Target="/word/header1.xml" Id="r97" /><Relationship Type="http://schemas.openxmlformats.org/officeDocument/2006/relationships/footer" Target="/word/footer1.xml" Id="r98" /></Relationships>
</file>