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a4cdbe3ef741b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בתי הדין השרעיים (אישור מינויים), תשי"ד-1953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מתן תוקף לבתי דין שרעיים ולמינויי קאדים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מתן תוקף לבית הדין השרעי לערעורים וקביעת הרכבו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ביצוע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בתי הדין השרעיים (אישור מינויים), תשי"ד-1953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בחוק זה "בית דין שרעי" פירושו – בית דין מושלמי דתי כמשמעותו בסעיף 52 לדבר-המלך-במועצה, 1947-1922.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מתן תוקף לבתי דין שרעיים ולמינויי קאדים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בתי הדין השרעיים המכהנים ערב תחילת תקפו של חוק זה והמפורטים בתוספת הראשונה לחוק זה, יראו אותם כבתי דין שרעיים שכוננו כחוק – מן היום הנקוב באותה תוספת; והקאדים המכהנים בבתי דין אלה ערב תחילת תקפו של חוק זה וששמותיהם ותאריהם מפורטים בתוספת השניה לחוק זה, יראו אותם כקאדים שנתמנו כחוק – מן היום הנקוב באותה 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מתן תוקף לבית הדין השרעי לערעורים וקביעת הרכבו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בית הדין השרעי לערעורים בירושלים יראו כבית דין שרעי לערעורים שכונן כחוק – מיום י"ד בטבת תשי"ג (1 בינואר 1953).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ביצוע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שר הדתות ממונה על ביצוע חוק זה.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רשימת בתי הדין השרעיים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42645dd1afcd4e19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רשימת הקאדים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780460311dd47a1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שפירא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הדתות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שרת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החוץממלא מקום 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בן-צבי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 בתי הדין השרעיים (אישור מינויים), תשי"ד-1953,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0e1a1cc9bda48ff" /><Relationship Type="http://schemas.openxmlformats.org/officeDocument/2006/relationships/hyperlink" Target="https://www.nevo.co.il/laws/#/628261a1c03e3e40da849b19/clause/62826353c03e3e40da849b58" TargetMode="External" Id="R42645dd1afcd4e19" /><Relationship Type="http://schemas.openxmlformats.org/officeDocument/2006/relationships/hyperlink" Target="https://www.nevo.co.il/laws/#/628261a1c03e3e40da849b19/clause/6282643ec03e3e40da849b6f" TargetMode="External" Id="Re780460311dd47a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