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941374cd5f406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גיל פרישה,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ב':גיל פרישה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הפרישה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פרישת חובה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הפרישה המוקדמת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מעבר</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הפרישה – הוראות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פרישת חובה – 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הפרישה המוקדמת – 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כלליות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 על מועד הפרישה של עובדת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 פרישה שנקבע בהסכם שנכרת לפני יום התחילה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מאוצר המדינה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לתכניות תעסוקה, הכשרות מקצועיות, השמה בעבודה ודמי קיום</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לכנסת</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ו':תיקונים עקיפים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ז':תחילה, תחולה והוראה מיוחדת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 הבטחת הכנסה וחוק הביטוח הלאומי – תחולה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 ביטוח בריאות ממלכתי – הוראה מיוחדת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w:t>
                </w:r>
              </w:p>
            </w:tc>
          </w:tr>
        </w:tbl>
        <w:br w:type="page"/>
      </w:r>
    </w:p>
    <w:p>
      <w:pPr>
        <w:bidi/>
        <w:spacing w:before="45" w:after="70" w:line="250" w:lineRule="auto"/>
        <w:jc w:val="center"/>
      </w:pPr>
      <w:defaultTabStop w:val="720"/>
      <w:r>
        <w:rPr>
          <w:lang w:bidi="he-IL"/>
          <w:rFonts w:hint="cs" w:cs="FrankRuehl"/>
          <w:szCs w:val="32"/>
          <w:rtl/>
        </w:rPr>
        <w:t xml:space="preserve">חוק גיל פרישה, תשס"ד-2004</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לקבוע כללים אחידים לענין גיל פרישה מעבודה, ובכלל זה העלאתו באופן מדורג והכל תוך החלת הכללים האמורים הן לענין זכאות להטבה הניתנת למי שהגיע לגיל האמור והן לענין זכאות להטבה הניתנת למי שטרם הגיע לגיל האמור, עד הגיעו לאותו גיל.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"גמלה" – תגמול או קצבה המשתלמים לאדם, במלואם או בחלקם, כמפורט בפסקה מהפסקאות שלהלן, מחמת פרישתו מעבודתו בשל גילו: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מאוצר המדינה או מקופתו של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גוף מתוקצב, גוף נתמך או תאגיד בריאות, כהגדרתם בסעיף 21 בחוק יסודות התקציב, התשמ"ה-1985;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מוסד חינוך כהגדרתו בחוק לימוד חובה, התש"ט-1949, שהממשלה משתתפת בתקציבו, במישרין או בעקיפין;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גוף אחר שהממשלה משתתפת בתקציבו, במישרין או בעקיפין, ושהשר קבעו בהודעה ברשומות לענין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ידי גוף שהתחייבויותיו מבוססות על מנגנון של ערבות הדדית בין הזכאים לגמלה;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התחייבות של מעסיק עקב סיום יחסי עבודה בשל גילו של העובד, גם אם אינם משתלמים על ידי המעסיק;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 לרבות הסכם קיבוצי כמשמעותו בחוק הסכמים קיבוציים, התשי"ז-1957, צו הרחבה כמשמעותו בחוק האמור, הסדר קיבוצי, ותקנון של קופת גמל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האוצר.</w:t>
      </w:r>
    </w:p>
    <w:p>
      <w:pPr>
        <w:bidi/>
        <w:spacing w:before="70" w:after="5" w:line="250" w:lineRule="auto"/>
        <w:jc w:val="center"/>
      </w:pPr>
      <w:defaultTabStop w:val="720"/>
      <w:r>
        <w:rPr>
          <w:lang w:bidi="he-IL"/>
          <w:rFonts w:hint="cs" w:cs="FrankRuehl"/>
          <w:szCs w:val="26"/>
          <w:b/>
          <w:bCs/>
          <w:rtl/>
        </w:rPr>
        <w:t xml:space="preserve">פרק ב':גיל פרישה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הפרישה</w:t>
                </w:r>
              </w:p>
            </w:txbxContent>
          </v:textbox>
        </v:rect>
      </w:pict>
      <w:r>
        <w:rPr>
          <w:lang w:bidi="he-IL"/>
          <w:rFonts w:hint="cs" w:cs="FrankRuehl"/>
          <w:szCs w:val="34"/>
          <w:rtl/>
        </w:rPr>
        <w:t xml:space="preserve">3.</w:t>
      </w:r>
      <w:r>
        <w:rPr>
          <w:lang w:bidi="he-IL"/>
          <w:rFonts w:hint="cs" w:cs="FrankRuehl"/>
          <w:szCs w:val="26"/>
          <w:rtl/>
        </w:rPr>
        <w:tab/>
        <w:t xml:space="preserve">הגיל שבהגיעו אליו זכאי אדם לפרוש מעבודתו בשל גילו ולקבל, בהתקיים התנאים הקבועים לכך על פי דין או הסכם, גמלה בשל פרישתו מעבודתו כאמור, הוא גיל 67 לגבר וגיל 65 לאישה (בחוק זה – גיל הפרישה).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פרישת חובה</w:t>
                </w:r>
              </w:p>
            </w:txbxContent>
          </v:textbox>
        </v:rect>
      </w:pict>
      <w:r>
        <w:rPr>
          <w:lang w:bidi="he-IL"/>
          <w:rFonts w:hint="cs" w:cs="FrankRuehl"/>
          <w:szCs w:val="34"/>
          <w:rtl/>
        </w:rPr>
        <w:t xml:space="preserve">4.</w:t>
      </w:r>
      <w:r>
        <w:rPr>
          <w:lang w:bidi="he-IL"/>
          <w:rFonts w:hint="cs" w:cs="FrankRuehl"/>
          <w:szCs w:val="26"/>
          <w:rtl/>
        </w:rPr>
        <w:tab/>
        <w:t xml:space="preserve">הגיל שבהגיעו אליו ניתן לחייב עובד לפרוש מעבודתו בשל גילו, הוא גיל 67 לגבר ולאישה (בחוק זה – גיל פרישת חובה).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הפרישה המוקדמת</w:t>
                </w:r>
              </w:p>
            </w:txbxContent>
          </v:textbox>
        </v:rect>
      </w:pict>
      <w:r>
        <w:rPr>
          <w:lang w:bidi="he-IL"/>
          <w:rFonts w:hint="cs" w:cs="FrankRuehl"/>
          <w:szCs w:val="34"/>
          <w:rtl/>
        </w:rPr>
        <w:t xml:space="preserve">5.</w:t>
      </w:r>
      <w:r>
        <w:rPr>
          <w:lang w:bidi="he-IL"/>
          <w:rFonts w:hint="cs" w:cs="FrankRuehl"/>
          <w:szCs w:val="26"/>
          <w:rtl/>
        </w:rPr>
        <w:tab/>
        <w:t xml:space="preserve">הגיל שבהגיעו אליו זכאי אדם לקבל גמלה, בהתקיים התנאים הקבועים לכך על פי דין או הסכם, מחמת פרישתו מעבודתו בשל גילו אף בטרם הגיעו לגיל הפרישה, הוא גיל 60 לגבר ולאישה (בחוק זה – גיל הפרישה המוקדמת), ויחולו לענין זה ההוראות שנקבעו בדין או בהסכם לגבי הפחתת הגמלה בשל הפרישה המוקדמת כאמור, ככל שנקבעו.</w:t>
      </w:r>
    </w:p>
    <w:p>
      <w:pPr>
        <w:bidi/>
        <w:spacing w:before="70" w:after="5" w:line="250" w:lineRule="auto"/>
        <w:jc w:val="center"/>
      </w:pPr>
      <w:defaultTabStop w:val="720"/>
      <w:r>
        <w:rPr>
          <w:lang w:bidi="he-IL"/>
          <w:rFonts w:hint="cs" w:cs="FrankRuehl"/>
          <w:szCs w:val="26"/>
          <w:b/>
          <w:bCs/>
          <w:rtl/>
        </w:rPr>
        <w:t xml:space="preserve">פרק ג':הוראות מעבר</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הפרישה – הוראות מעבר</w:t>
                </w:r>
              </w:p>
            </w:txbxContent>
          </v:textbox>
        </v:rect>
      </w:pict>
      <w:r>
        <w:rPr>
          <w:lang w:bidi="he-IL"/>
          <w:rFonts w:hint="cs" w:cs="FrankRuehl"/>
          <w:szCs w:val="34"/>
          <w:rtl/>
        </w:rPr>
        <w:t xml:space="preserve">6.</w:t>
      </w:r>
      <w:r>
        <w:rPr>
          <w:lang w:bidi="he-IL"/>
          <w:rFonts w:hint="cs" w:cs="FrankRuehl"/>
          <w:szCs w:val="26"/>
          <w:rtl/>
        </w:rPr>
        <w:tab/>
        <w:t xml:space="preserve">על אף האמור בסעיף 3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גבר שנולד עד חודש אפריל 1942, יהיה גיל הפרישה – הגיל הקבוע לגביו, בהתאם לחודש לידתו, בחלק א'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אישה שנולדה עד חודש דצמבר 1969, יהיה גיל הפרישה – הגיל הקבוע לגביה, בהתאם לחודש לידתה, בחלק ב'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פרישת חובה – הוראת מעבר</w:t>
                </w:r>
              </w:p>
            </w:txbxContent>
          </v:textbox>
        </v:rect>
      </w:pict>
      <w:r>
        <w:rPr>
          <w:lang w:bidi="he-IL"/>
          <w:rFonts w:hint="cs" w:cs="FrankRuehl"/>
          <w:szCs w:val="34"/>
          <w:rtl/>
        </w:rPr>
        <w:t xml:space="preserve">7.</w:t>
      </w:r>
      <w:r>
        <w:rPr>
          <w:lang w:bidi="he-IL"/>
          <w:rFonts w:hint="cs" w:cs="FrankRuehl"/>
          <w:szCs w:val="26"/>
          <w:rtl/>
        </w:rPr>
        <w:tab/>
        <w:t xml:space="preserve">על אף האמור בסעיף 4, לגבי עובד או עובדת שנולדו עד חודש אפריל 1942 יהיה גיל פרישת חובה – הגיל הקבוע לגביהם, בהתאם לחודש לידתם, בחלק א' בתוספת.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הפרישה המוקדמת – הוראת מעבר</w:t>
                </w:r>
              </w:p>
            </w:txbxContent>
          </v:textbox>
        </v:rect>
      </w:pict>
      <w:r>
        <w:rPr>
          <w:lang w:bidi="he-IL"/>
          <w:rFonts w:hint="cs" w:cs="FrankRuehl"/>
          <w:szCs w:val="34"/>
          <w:rtl/>
        </w:rPr>
        <w:t xml:space="preserve">8.</w:t>
      </w:r>
      <w:r>
        <w:rPr>
          <w:lang w:bidi="he-IL"/>
          <w:rFonts w:hint="cs" w:cs="FrankRuehl"/>
          <w:szCs w:val="26"/>
          <w:rtl/>
        </w:rPr>
        <w:tab/>
        <w:t xml:space="preserve">על אף האמור בסעיף 5, לגבי אישה שנולדה עד חודש אפריל 1955, יהיה גיל הפרישה המוקדמת – הגיל הקבוע לגביה, בהתאם לחודש לידתה, בחלק ג' בתוספת.</w:t>
      </w:r>
    </w:p>
    <w:p>
      <w:pPr>
        <w:bidi/>
        <w:spacing w:before="70" w:after="5" w:line="250" w:lineRule="auto"/>
        <w:jc w:val="center"/>
      </w:pPr>
      <w:defaultTabStop w:val="720"/>
      <w:r>
        <w:rPr>
          <w:lang w:bidi="he-IL"/>
          <w:rFonts w:hint="cs" w:cs="FrankRuehl"/>
          <w:szCs w:val="26"/>
          <w:b/>
          <w:bCs/>
          <w:rtl/>
        </w:rPr>
        <w:t xml:space="preserve">פרק ד':</w:t>
      </w:r>
      <w:bookmarkStart w:name="h12" w:id="12"/>
      <w:bookmarkEnd w:id="12"/>
    </w:p>
    <w:p>
      <w:pPr>
        <w:bidi/>
        <w:spacing w:before="70" w:after="5" w:line="250" w:lineRule="auto"/>
        <w:jc w:val="center"/>
      </w:pPr>
      <w:defaultTabStop w:val="720"/>
      <w:r>
        <w:rPr>
          <w:lang w:bidi="he-IL"/>
          <w:rFonts w:hint="cs" w:cs="FrankRuehl"/>
          <w:szCs w:val="26"/>
          <w:b/>
          <w:bCs/>
          <w:rtl/>
        </w:rPr>
        <w:t xml:space="preserve">פרק ה':הוראות כלליות</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הוראות חוק זה יחולו על אף האמור בכל 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ניתן בהסכם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כי הגיל שבהגיעו אליו ניתן לחייב עובד לפרוש מעבודתו בשל גילו יהיה גבוה מגיל פרישת חובה;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כי הגיל שבהגיעו אליו זכאי עובד לקבל גמלה מחמת פרישתו מעבודתו בשל גילו אף בטרם הגיעו לגיל הפרישה, יהיה נמוך מגיל הפרישה המוקדמת, ובלבד שהמעסיק יישא בעלות הנובעת מכך, במלואה; השר רשאי לאשר לגוף שאינו המעסיק לשאת בעלות כאמור בפסקה זו, כולה או חלקה, במקום המעסיק; הודעה על אישור כאמור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חוק זה יחולו אלא אם כן נקבע אחרת בחוק אחר.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 על מועד הפרישה של עובדת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שר התעשיה המסחר והתעסוקה רשאי, באישור ועדת הכספים של הכנסת, לקבוע הוראות לענין עובדת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מסירת הודעות מאת המעסיק ומאת העובדת לגבי מועד פרישת העובדת מעבודתה;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 אי מסירת הודעות כאמור בפסקה (1), או מסירתן באיחור, לרבות דחיית מועד תשלום סכומים המגיעים לעובדת מכוח כל דין או הסכם עקב פרישתה מהעבודה, ובלבד שדחיה כאמור לא תעלה על התקופה שנקבעה לפי סעיף קטן זה למתן הודעה מאת העובדת; נקבעו הוראות לפי פסקה זו, יבואו הוראות אלה במקום כל תרופה העומדת למעסיק כלפי העובדת בשל אי מסירת הודעה לגבי מועד פרישתה מהעבודה או מסירתה באיחור.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עוד לא נקבעו תקנות לפי הוראות סעיף קטן (א), יעמדו בתוקפן התקנות שנקבעו לפי סעיף 3 בחוק גיל פרישה שווה לעובדת ולעובד, התשמ"ז-1987, כנוסחן ערב תחילתו של חוק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 פרישה שנקבע בהסכם שנכרת לפני יום התחילה</w:t>
                </w:r>
              </w:p>
            </w:txbxContent>
          </v:textbox>
        </v:rect>
      </w:pict>
      <w:r>
        <w:rPr>
          <w:lang w:bidi="he-IL"/>
          <w:rFonts w:hint="cs" w:cs="FrankRuehl"/>
          <w:szCs w:val="34"/>
          <w:rtl/>
        </w:rPr>
        <w:t xml:space="preserve">12.</w:t>
      </w:r>
      <w:r>
        <w:rPr>
          <w:lang w:bidi="he-IL"/>
          <w:rFonts w:hint="cs" w:cs="FrankRuehl"/>
          <w:szCs w:val="26"/>
          <w:rtl/>
        </w:rPr>
        <w:tab/>
        <w:t xml:space="preserve">על אף הוראות סעיפים 3 ו-6(2) ו-(3), אישה שנקבע לגביה, בהסכם שנכרת לפני יום תחילתו של חוק זה, גיל פרישה הגבוה מגיל הפרישה הקבוע לגביה לפי הוראות חוק זה, יהיה גיל הפרישה לגביה, לענין זכאותה לפרוש מעבודתה ולקבל גמלה ממעסיקה, ולענין זה בלבד – הגיל שנקבע בהסכם כאמור.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מאוצר המדינה</w:t>
                </w:r>
              </w:p>
            </w:txbxContent>
          </v:textbox>
        </v:rect>
      </w:pict>
      <w:r>
        <w:rPr>
          <w:lang w:bidi="he-IL"/>
          <w:rFonts w:hint="cs" w:cs="FrankRuehl"/>
          <w:szCs w:val="34"/>
          <w:rtl/>
        </w:rPr>
        <w:t xml:space="preserve">13.</w:t>
      </w:r>
      <w:r>
        <w:rPr>
          <w:lang w:bidi="he-IL"/>
          <w:rFonts w:hint="cs" w:cs="FrankRuehl"/>
          <w:szCs w:val="26"/>
          <w:rtl/>
        </w:rPr>
        <w:tab/>
        <w:t xml:space="preserve">השר יקבע, בצו, סכומים שיינתנו כסיוע מאוצר המדינה, לפי אמות מידה שיקבע באותו צו, לפתרון קשיים כספיים ממשיים הנובעים מהעלאת גיל הפרישה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לתכניות תעסוקה, הכשרות מקצועיות, השמה בעבודה ודמי קיום</w:t>
                </w:r>
              </w:p>
            </w:txbxContent>
          </v:textbox>
        </v:rect>
      </w:pict>
      <w:r>
        <w:rPr>
          <w:lang w:bidi="he-IL"/>
          <w:rFonts w:hint="cs" w:cs="FrankRuehl"/>
          <w:szCs w:val="34"/>
          <w:rtl/>
        </w:rPr>
        <w:t xml:space="preserve">13א.</w:t>
      </w:r>
      <w:r>
        <w:rPr>
          <w:lang w:bidi="he-IL"/>
          <w:rFonts w:hint="cs" w:cs="FrankRuehl"/>
          <w:szCs w:val="26"/>
          <w:rtl/>
        </w:rPr>
        <w:tab/>
        <w:t xml:space="preserve">למטרת מימון השתתפותן של נשים בגילאי 50 עד 67, בתכניות תעסוקה, בהכשרות מקצועיות ובהשמה בעבודה ולמטרת תשלום דמי קיום לנשים אלה במהלך ההכשרות המקצועיות, יוקצה בחוקי התקציב השנתי לשנות התקציב 2023 עד 2031, בסעיף תקציב המשרד לשוויון חברתי, בתכנית נפרדת, סכום שלא יפחת מ-10 מיליון שקלים חדשים לכל שנה, וכן בתקציב משרד הכלכלה והתעשייה, בתכנית נפרדת – סכום שלא יפחת מ-72.5 מיליון שקלים חדשים לכל שנה; לעניין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"הכשרה מקצועית" – לרבות בדרך של הכשרה במהלך עבודה אצל מעסיק (OJT), כיתה במפעל, ייעוץ וליווי עסקי וסיוע בפתיחת עסק;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תקציב שנתי" – כמשמעותו בחוק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"סעיף תקציב" – כהגדרתו בחוק תקציב שנתי.</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לכנסת</w:t>
                </w:r>
              </w:p>
            </w:txbxContent>
          </v:textbox>
        </v:rect>
      </w:pict>
      <w:r>
        <w:rPr>
          <w:lang w:bidi="he-IL"/>
          <w:rFonts w:hint="cs" w:cs="FrankRuehl"/>
          <w:szCs w:val="34"/>
          <w:rtl/>
        </w:rPr>
        <w:t xml:space="preserve">13ב.</w:t>
        <w:tab/>
      </w:r>
      <w:r>
        <w:rPr>
          <w:lang w:bidi="he-IL"/>
          <w:rFonts w:hint="cs" w:cs="FrankRuehl"/>
          <w:szCs w:val="26"/>
          <w:rtl/>
        </w:rPr>
        <w:t xml:space="preserve">(א)</w:t>
      </w:r>
      <w:r>
        <w:rPr>
          <w:lang w:bidi="he-IL"/>
          <w:rFonts w:hint="cs" w:cs="FrankRuehl"/>
          <w:szCs w:val="26"/>
          <w:rtl/>
        </w:rPr>
        <w:tab/>
        <w:t xml:space="preserve">החל משנת 2023, יגיש שר האוצר לוועדת הכספים של הכנסת, לוועדה לקידום מעמד האישה ולשוויון מגדרי של הכנסת ולוועדת העבודה והרווחה של הכנסת, ב-31 במרס בכל שנה, דוח מסכם בעניינים המפורטים להלן, לגבי התקופה שמיום כ"ח בטבת התשפ"ב (1 בינואר 2022) ועד מועד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ההשפעה של העלאת גיל הפרישה לנשים לפי הוראות חוק התכנית הכלכלית (תיקוני חקיקה ליישום המדיניות הכלכלית לשנות התקציב 2021 ו-2022), התשפ"ב-2021 (בסעיף זה – העלאת גיל הפרישה), על ההכנסות של נשים שגיל הפרישה שלהן הועלה בשל הוראות החוק האמור, בצירוף נתוני ההכנסות של אותן 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ההשפעה של העלאת גיל הפרישה על השתתפותן של נשים שגיל הפרישה שלהן הועלה כאמור בפסקה (1), בשוק העבודה, בצירוף נתוני התעסוקה והאבטלה של אותן 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נתונים לגבי ביצוע הכשרות מקצועיות לנשים שגיל הפרישה שלהן הועלה כאמור, ולגבי היקף השתתפותן בהכשרות מקצועיות, וכן לגבי התאמת ההכשרות המקצועיות לרמות השכלה שונות, קיום ההכשרות בפריסה ארצית, לרבות באזורי פריפריה גיאוגרפית, וביצוע ההכשרות במקומות נגישים פיזית ותחבורתית;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נתונים לגבי היקף השתתפותן של נשים בשוק העבודה לאחר שהשתתפו בהכשרות מקצועיות כאמור בפסקה (3), וכן נתונים לעניין גובה ההכנסה שלהן לאחר שהשתתפו בהכשרות מקצועיות כאמור בהשוואה לגובה ההכנסה לפני שהשתתפו בהכשרות המקצועיות;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השתלבותן בעבודה של נשים שקיבלו דמי אבטלה לפי סעיף 171(א)(1ב) או (1ג) לחוק הביטוח הלאומי [נוסח משולב], התשנ"ה-1995, לאחר קבלת דמי האבטלה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שיעורי המיצוי של מענק עבודה לפי סעיף 6ה לחוק להגדלת שיעור ההשתתפות בכוח העבודה ולצמצום פערים חברתיים (מענק עבודה), התשס"ח-2007, וכן יישום הוראות הסעיף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יישום סעיף 13א ומימוש התקציב שנקבע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משנת 2024, יגיש המוסד לביטוח לאומי לוועדת הכספים של הכנסת, לוועדה לקידום מעמד האישה ולשוויון מגדרי של הכנסת ולוועדת העבודה והרווחה של הכנסת, ב-1 בינואר בכל שנה, דוח מסכם בעניינים המפורטים להלן, לגבי התקופה שמיום כ"ח בטבת התשפ"ב (1 בינואר 2022) ועד מועד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השינוי בתחולת העוני בקרב נשים שנולדו בשנים 1960 עד 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פעולות ליידוע נשים בדבר זכאותן למענק מעבר בשל העלאת גיל הפרישה לפי סעיף 269א לחוק הביטוח הלאומי [נוסח משולב], התשנ"ה-1995, ולדמי אבטלה לפי סעיף 171(א)(1ב) ו-(1ג) לחוק האמור, ובכלל זה פניות יזומות של המוסד לביטוח לאומי לנשים;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ההשפעה של העלאת גיל הפרישה על מצבן של נשים וזכאותן לגמלאות שמשלם המוסד לביטוח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הכספים של הכנסת תקיים אחת לשנה דיון בדוחות שהוגשו לה לפי סעיף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14.</w:t>
      </w:r>
      <w:r>
        <w:rPr>
          <w:lang w:bidi="he-IL"/>
          <w:rFonts w:hint="cs" w:cs="FrankRuehl"/>
          <w:szCs w:val="26"/>
          <w:rtl/>
        </w:rPr>
        <w:tab/>
        <w:t xml:space="preserve">השר ממונה על ביצועו של חוק זה, והוא רשאי, באישור ועדת הכספים של הכנסת, להתקין תקנות בכל ענין הנוגע לביצועו.</w:t>
      </w:r>
    </w:p>
    <w:p>
      <w:pPr>
        <w:bidi/>
        <w:spacing w:before="70" w:after="5" w:line="250" w:lineRule="auto"/>
        <w:jc w:val="center"/>
      </w:pPr>
      <w:defaultTabStop w:val="720"/>
      <w:r>
        <w:rPr>
          <w:lang w:bidi="he-IL"/>
          <w:rFonts w:hint="cs" w:cs="FrankRuehl"/>
          <w:szCs w:val="26"/>
          <w:b/>
          <w:bCs/>
          <w:rtl/>
        </w:rPr>
        <w:t xml:space="preserve">פרק ו':תיקונים עקיפים</w:t>
      </w:r>
      <w:bookmarkStart w:name="h21" w:id="21"/>
      <w:bookmarkEnd w:id="21"/>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15. עד 31. תיקונים בחוקים שונים. ניתן לראות את נוסח התיקון כולו באתר תחת "רשומות – ספר החוקים".</w:t>
      </w:r>
    </w:p>
    <w:p>
      <w:pPr>
        <w:bidi/>
        <w:spacing w:before="70" w:after="5" w:line="250" w:lineRule="auto"/>
        <w:jc w:val="center"/>
      </w:pPr>
      <w:defaultTabStop w:val="720"/>
      <w:r>
        <w:rPr>
          <w:lang w:bidi="he-IL"/>
          <w:rFonts w:hint="cs" w:cs="FrankRuehl"/>
          <w:szCs w:val="26"/>
          <w:b/>
          <w:bCs/>
          <w:rtl/>
        </w:rPr>
        <w:t xml:space="preserve">פרק ז':תחילה, תחולה והוראה מיוחדת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32.</w:t>
      </w:r>
      <w:r>
        <w:rPr>
          <w:lang w:bidi="he-IL"/>
          <w:rFonts w:hint="cs" w:cs="FrankRuehl"/>
          <w:szCs w:val="26"/>
          <w:rtl/>
        </w:rPr>
        <w:tab/>
        <w:t xml:space="preserve">תחילתו של חוק זה ביום י' בניסן התשס"ד (1 באפריל 2004) (בחוק זה – יום התחילה).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 הבטחת הכנסה וחוק הביטוח הלאומי – תחולה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הוראות חוק הבטחת הכנסה, התשמ"א-1980, כנוסחן בסעיף 22 בחוק זה, והוראות חוק הביטוח הלאומי [נוסח משולב], התשנ"ה-1995 (בסעיף זה – חוק הביטוח הלאומי), למעט הוראות סעיפים 158, 160 ו-166 שבו, כנוסחן בסעיף 29 בחוק זה, יחולו על גמלאות ודמי ביטוח המשתלמים בעד יום התחילה ואילך, ואולם סעיף 240(א) בחוק הביטוח הלאומי, כנוסחו בסעיף 29(12) בחוק זה, לא יחול על אישה שנעשתה תושבת ישראל לראשונה לאחר יום י"א בכסלו התשי"ד (18 בנובמבר 1953) וביום י"ד בניסן התשכ"ה (16 באפריל 1965) כבר מלאו לה 60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158, 160 ו-166 בחוק הביטוח הלאומי, כנוסחן בסעיף 29(3) עד (5) בחוק זה, יחולו על מי שהתאריך הקובע, כהגדרתו בסעיף 158 בחוק האמור, חל לגביו ביום התחילה או לאחריו; ואולם מי שפסקה זכותו לדמי אבטלה רק מחמת הגיעו לגיל 65, וטרם הגיע לגיל הפרישה הקבוע לגביו, יחולו לגביו הוראות הסעיפים האמורים כנוסחם בחוק זה, עד הגיעו לגיל הפרישה הקבוע לגביו.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 ביטוח בריאות ממלכתי – הוראה מיוחדת</w:t>
                </w:r>
              </w:p>
            </w:txbxContent>
          </v:textbox>
        </v:rect>
      </w:pict>
      <w:r>
        <w:rPr>
          <w:lang w:bidi="he-IL"/>
          <w:rFonts w:hint="cs" w:cs="FrankRuehl"/>
          <w:szCs w:val="34"/>
          <w:rtl/>
        </w:rPr>
        <w:t xml:space="preserve">34.</w:t>
      </w:r>
      <w:r>
        <w:rPr>
          <w:lang w:bidi="he-IL"/>
          <w:rFonts w:hint="cs" w:cs="FrankRuehl"/>
          <w:szCs w:val="26"/>
          <w:rtl/>
        </w:rPr>
        <w:tab/>
        <w:t xml:space="preserve">הנחות ופטורים שהיו קבועים ערב תחילתו של חוק זה לפי פסקאות משנה (2) ו-(3) של סעיף 8(א1)(2)(ג) בחוק ביטוח בריאות ממלכתי, התשנ"ד-1994, כנוסחו ערב יום התחילה, יחולו החל ביום התחילה רק על מי שהגיע לגיל פרישת חובה או לגיל הפרישה, לפי הענין.</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6 עד 8)</w:t>
      </w:r>
    </w:p>
    <w:p>
      <w:pPr>
        <w:bidi/>
        <w:spacing w:before="70" w:after="5" w:line="250" w:lineRule="auto"/>
        <w:jc w:val="center"/>
      </w:pPr>
      <w:defaultTabStop w:val="720"/>
      <w:r>
        <w:rPr>
          <w:lang w:bidi="he-IL"/>
          <w:rFonts w:hint="cs" w:cs="FrankRuehl"/>
          <w:szCs w:val="26"/>
          <w:b/>
          <w:bCs/>
          <w:rtl/>
        </w:rPr>
        <w:t xml:space="preserve">חלק א'</w:t>
      </w:r>
      <w:bookmarkStart w:name="h27" w:id="27"/>
      <w:bookmarkEnd w:id="27"/>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5d923eea1ac43d1">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w:t>
      </w:r>
      <w:bookmarkStart w:name="h28" w:id="28"/>
      <w:bookmarkEnd w:id="28"/>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e70fe95c47a497f">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ג'</w:t>
      </w:r>
      <w:bookmarkStart w:name="h29" w:id="29"/>
      <w:bookmarkEnd w:id="29"/>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65df2978ff8411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גיל פרישה, תשס"ד-2004,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4f381af8cf4f39" /><Relationship Type="http://schemas.openxmlformats.org/officeDocument/2006/relationships/hyperlink" Target="https://www.nevo.co.il/laws/#/6320141322734b7a89bae835/clause/63201b6822734b7a89bae946" TargetMode="External" Id="R45d923eea1ac43d1" /><Relationship Type="http://schemas.openxmlformats.org/officeDocument/2006/relationships/hyperlink" Target="https://www.nevo.co.il/laws/#/6320141322734b7a89bae835/clause/63201c4922734b7a89bae94a" TargetMode="External" Id="Rce70fe95c47a497f" /><Relationship Type="http://schemas.openxmlformats.org/officeDocument/2006/relationships/hyperlink" Target="https://www.nevo.co.il/laws/#/6320141322734b7a89bae835/clause/63201cd322734b7a89bae94e" TargetMode="External" Id="R365df2978ff84115" /><Relationship Type="http://schemas.openxmlformats.org/officeDocument/2006/relationships/header" Target="/word/header1.xml" Id="r97" /><Relationship Type="http://schemas.openxmlformats.org/officeDocument/2006/relationships/footer" Target="/word/footer1.xml" Id="r98" /></Relationships>
</file>