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f238e47fff2451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הגנה על עובדים (חשיפת עבירות ופגיעה בטוהר המידות או במינהל התקין), תשנ"ז-1997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מתלונן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 ותרופות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נטל ההוכחה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ההגנה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הוספת גופים לתוספת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חוק הגנה על עובדים (חשיפת עבירות ופגיעה בטוהר המידות או במינהל התקין), תשנ"ז-1997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ציבורי" – גוף המנוי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מטעם המעסיק" – מי שממונה מטעם המעסיק על ענייני עבודה של עובד מסוים או של כלל העובדים;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"ענייני עבודה"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קידום בעבודה;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הכשרה או השתלמות מקצועית;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 פיטורים או פיצויי פיטורים;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הטבות ותשלומים הניתנים לעובד בקשר לפרישה מעבודה.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מתלונן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יפגע מעסיק בענייני עבודתו של עובד ולא יפטרו בשל כך שהגיש תלונה נגד מעסיקו או נגד עובד אחר של אותו מעסיק, או שסייע לעובד אחר בקשר להגשת תלונה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יפגע ממונה מטעם המעסיק בענייני עבודה של עובד, ולא יגרום לפגיעה בענייני עבודתו או לפיטוריו, בשל כך שהגיש תלונה נגד מעסיקו או נגד עובד של אותו מעסיק, או שסייע לעובד אחר בקשר להגשת תלונה כאמור.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 ותרופות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לבית הדין האזורי לעבודה תהא סמכות ייחודית לדון בהליך אזרחי בשל הפרת הוראות סעיף 2 והוא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לפסוק פיצויים אף אם לא נגרם נזק של ממון, בשיעור שייראה לו בנסיבות הענין, וכן רשאי הוא לחייב את המפר בתשלום פיצויים שאינם תלויים בנזק (בסעיף זה – פיצויים לדוגמה), בסכום שלא יעלה על 50,000 שקלים חדשים; ואולם רשאי בית הדין לפסוק פיצויים לדוגמה בסכום שלא יעלה על 500,000 שקלים חדשים, בשל חומרת ההפרה או נסיבות הנוגעות להפרה, לרבות התנהגות המפר או היותה הפרה חוזרת;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ליתן צו מניעה או צו עשה, לרבות צו המבטל פיטורין או צו המורה על העברת העובד למשרה מתאימה אחרת, אם ראה שהענקת פיצויים בלבד לא תהא צודקת; בבואו ליתן צו לפי סעיף זה, יביא בית הדין בחשבון, בין היתר, את השפעת הצו על יחסי העבודה במקום העבודה ואת האפשרות שעובד אחר ייפגע; הוראות פסקה זו כוחן יפה על אף הוראות סעיף 3(2) לחוק החוזים (תרופות בשל הפרת חוזה), התשל"א-1970.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בפסיקת פיצויים לדוגמה לפי סעיף קטן (א)(1) רשאי בית הדין להתחשב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בקנס שהוטל על המפר לאחר שהורשע, בשל אותה הפרה, בעבירה לפי חוק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בפיצויים מיוחדים שנציב תלונות הציבור ציווה לתתם לפי סעיף 45ג(ב) לחוק מבקר המדינה, התשי"ח-1958 [נוסח משולב].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הסכומים הנקובים בסעיף קטן (א)(1) יעודכנו ב-1 בינואר בכל שנה (בסעיף קטן זה – יום העדכון), בהתאם לשיעור עליית המדד החדש לעומת המדד הבסיסי; לעניין זה –
"המדד החדש" – המדד שפורסם לאחרונה לפני יום העדכון;
"המדד הבסיסי" – המדד שפורסם בחודש יוני 2008;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(א)(2) יחולו על כל מעסיק שהוא גוף ציבורי וכן על כל מעסיק שאינו גוף ציבורי המעסיק יותר מ-25 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בית הדין האזורי לעבודה, כי תלונת התובע או כי התלונה שסייע בהגשתה היתה תלונת שווא, בנסיבות שהתובע ידע על כך או שהיה עליו לדעת על כך, לא יתן בית הדין סעד לפי חוק זה; ואם מצא כי התלונה או כי הסיוע בהגשתה היו גם שלא בתום לב, רשאי בית הדין לחייב את התובע, לאחר שנתן לו הזדמנות סבירה לטעון את טענותיו לענין זה, בתשלום פיצויים למעסיק או לעובד אחר שנגדו הוגשה התלונה.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נטל ההוכחה</w:t>
                </w:r>
              </w:p>
            </w:txbxContent>
          </v:textbox>
        </v:rect>
      </w:pict>
      <w:r>
        <w:rPr>
          <w:lang w:bidi="he-IL"/>
          <w:rFonts w:hint="cs" w:cs="FrankRuehl"/>
          <w:szCs w:val="34"/>
          <w:rtl/>
        </w:rPr>
        <w:t xml:space="preserve">3א.</w:t>
      </w:r>
      <w:r>
        <w:rPr>
          <w:lang w:bidi="he-IL"/>
          <w:rFonts w:hint="cs" w:cs="FrankRuehl"/>
          <w:szCs w:val="26"/>
          <w:rtl/>
        </w:rPr>
        <w:tab/>
        <w:t xml:space="preserve">בתובענה של עובד בשל הפרת הוראות סעיף 2, תהיה חובת ההוכחה על הנתבע כי פעל שלא בניגוד להוראות הסעיף האמור, אם הוכיח העובד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כי המעסיק פגע בענייני עבודתו או פיטר אותו או כי הממונה מטעם המעסיק פגע בענייני עבודתו או גרם לפגיעה בענייני עבודתו או לפיטוריו,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כי לא היתה בהתנהגותו או במעשיו סיבה לפגוע בענייני עבודתו או לפטרו, ולענין פגיעה בענייני עבודה שלגביהם נקבעו תנאים או כישורים – גם כי התקיימו בו התנאים או הכישורים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כי לא חלפו שנתיים ממועד הגשת התלונה על ידו או בסיועו כאמור בסעיף 2 ועד למועד הפגיעה בו או לפיטוריו כאמור באותו סעיף.</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ההגנה</w:t>
                </w:r>
              </w:p>
            </w:txbxContent>
          </v:textbox>
        </v:rect>
      </w:pict>
      <w:r>
        <w:rPr>
          <w:lang w:bidi="he-IL"/>
          <w:rFonts w:hint="cs" w:cs="FrankRuehl"/>
          <w:szCs w:val="34"/>
          <w:rtl/>
        </w:rPr>
        <w:t xml:space="preserve">4.</w:t>
      </w:r>
      <w:r>
        <w:rPr>
          <w:lang w:bidi="he-IL"/>
          <w:rFonts w:hint="cs" w:cs="FrankRuehl"/>
          <w:szCs w:val="26"/>
          <w:rtl/>
        </w:rPr>
        <w:tab/>
        <w:t xml:space="preserve">הגנות ותרופות לפי חוק זה יינתנו רק לגבי תלונה שהתקיימו בה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התלונה הוגשה בידי העובד בתום לב או שהעובד סייע בהגשת התלונה בתום 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התלונה הוגשה על הפרת חיקוק במקום העבודה, או על הפרת חיקוק בקשר לעבודת העובד או בקשר לעסקו או לפעילותו של המעסיק, ובגוף ציבורי – גם אם התלונה הוגשה על פגיעה בטוהר המידות או במינהל התקין;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התלונה הוגשה לרשות המוסמכת לקבל תלונה או המוסמכת לבדוק או לחקור בענין המשמש נושא התלונה.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w:t>
                </w:r>
              </w:p>
            </w:txbxContent>
          </v:textbox>
        </v:rect>
      </w:pict>
      <w:r>
        <w:rPr>
          <w:lang w:bidi="he-IL"/>
          <w:rFonts w:hint="cs" w:cs="FrankRuehl"/>
          <w:szCs w:val="34"/>
          <w:rtl/>
        </w:rPr>
        <w:t xml:space="preserve">5.</w:t>
      </w:r>
      <w:r>
        <w:rPr>
          <w:lang w:bidi="he-IL"/>
          <w:rFonts w:hint="cs" w:cs="FrankRuehl"/>
          <w:szCs w:val="26"/>
          <w:rtl/>
        </w:rPr>
        <w:tab/>
        <w:t xml:space="preserve">לא יזדקק בית-הדין האזורי לעבודה לתובענה בשל הפרת הוראות חוק זה שהוגשה לאחר שחלפו שלוש שנים מיום שנוצרה עילת התובענה; ואולם, בחישוב תקופת ההתיישנות לא תבוא במניין תקופה שלא תעלה על שנתיים שמיום הגשת תלונה באותו עניין לנציב תלונות הציבור לפי חוק מבקר המדינה, התשי"ח-1958 [נוסח משולב], ועד לסיום הטיפול בתלונה ובירורה על ידו, על אף הוראות סעיף 45(א)(2) לחוק האמור.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פגע מעסיק בענייני עבודה של עובד או פיטר אותו, בניגוד להוראות סעיף 2(א), או פגע ממונה מטעם המעסיק בענייני עבודה של עובד או גרם לפגיעה בענייני עבודתו או לפיטוריו, בניגוד להוראות סעיף 2(ב), דינו – מאסר שלוש שנים או קנס כאמור בסעיף 61(א)(3)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בבואו להטיל קנס לפי סעיף קטן (א) רשאי בית הדין להתחשב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בפיצויים לדוגמה כמשמעותם בסעיף 3, שהוטלו על הנאשם בפסק דין סופי בשל המעשה שבשלו יש לגזור את דינו;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בפיצויים מיוחדים שנציב תלונות הציבור ציווה לתתם לפי סעיף 45ג(ב) לחוק מבקר המדינה, התשי"ח-1958 [נוסח משולב].</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הוספת גופים לתוספת</w:t>
                </w:r>
              </w:p>
            </w:txbxContent>
          </v:textbox>
        </v:rect>
      </w:pict>
      <w:r>
        <w:rPr>
          <w:lang w:bidi="he-IL"/>
          <w:rFonts w:hint="cs" w:cs="FrankRuehl"/>
          <w:szCs w:val="34"/>
          <w:rtl/>
        </w:rPr>
        <w:t xml:space="preserve">6.</w:t>
      </w:r>
      <w:r>
        <w:rPr>
          <w:lang w:bidi="he-IL"/>
          <w:rFonts w:hint="cs" w:cs="FrankRuehl"/>
          <w:szCs w:val="26"/>
          <w:rtl/>
        </w:rPr>
        <w:tab/>
        <w:t xml:space="preserve">שר העבודה והרווחה רשאי, באישור ועדת העבודה והרווחה של הכנסת, להוסיף גופים נוספים לרשימת הגופים הציבוריים שבתוספת.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7.</w:t>
      </w:r>
      <w:r>
        <w:rPr>
          <w:lang w:bidi="he-IL"/>
          <w:rFonts w:hint="cs" w:cs="FrankRuehl"/>
          <w:szCs w:val="26"/>
          <w:rtl/>
        </w:rPr>
        <w:tab/>
        <w:t xml:space="preserve">הוראות חוק זה אינן גורעות מהוראות כל דין אחר.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8.</w:t>
      </w:r>
      <w:r>
        <w:rPr>
          <w:lang w:bidi="he-IL"/>
          <w:rFonts w:hint="cs" w:cs="FrankRuehl"/>
          <w:szCs w:val="26"/>
          <w:rtl/>
        </w:rPr>
        <w:tab/>
        <w:t xml:space="preserve">לענין חוק זה דין המדינה כמעסיק כדין כל מעסיק אחר.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9.</w:t>
      </w:r>
      <w:r>
        <w:rPr>
          <w:lang w:bidi="he-IL"/>
          <w:rFonts w:hint="cs" w:cs="FrankRuehl"/>
          <w:szCs w:val="26"/>
          <w:rtl/>
        </w:rPr>
        <w:tab/>
        <w:t xml:space="preserve">שר העבודה והרווחה ממונה על ביצוע חוק זה והוא רשאי להתקין תקנות בכל ענין הנוגע לביצועו.</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 w:line="250" w:lineRule="auto"/>
        <w:jc w:val="center"/>
      </w:pPr>
      <w:defaultTabStop w:val="720"/>
      <w:r>
        <w:rPr>
          <w:lang w:bidi="he-IL"/>
          <w:rFonts w:hint="cs" w:cs="FrankRuehl"/>
          <w:szCs w:val="26"/>
          <w:rtl/>
        </w:rPr>
        <w:t xml:space="preserve">גוף ציבורי</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(1)</w:t>
      </w:r>
      <w:r>
        <w:rPr>
          <w:lang w:bidi="he-IL"/>
          <w:rFonts w:hint="cs" w:cs="FrankRuehl"/>
          <w:szCs w:val="26"/>
          <w:rtl/>
        </w:rPr>
        <w:tab/>
        <w:t xml:space="preserve">משרד ממשלתי ומוסדות המדינה;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(2)</w:t>
      </w:r>
      <w:r>
        <w:rPr>
          <w:lang w:bidi="he-IL"/>
          <w:rFonts w:hint="cs" w:cs="FrankRuehl"/>
          <w:szCs w:val="26"/>
          <w:rtl/>
        </w:rPr>
        <w:tab/>
        <w:t xml:space="preserve">רשות מקומית וכל תאגיד שבשליטתה; </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(3)</w:t>
      </w:r>
      <w:r>
        <w:rPr>
          <w:lang w:bidi="he-IL"/>
          <w:rFonts w:hint="cs" w:cs="FrankRuehl"/>
          <w:szCs w:val="26"/>
          <w:rtl/>
        </w:rPr>
        <w:tab/>
        <w:t xml:space="preserve">תאגיד שהוקם בחוק וכן חברה ממשלתית כהגדרתה בחוק החברות הממשלתיות, תשל"ה-1975;</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(4)</w:t>
      </w:r>
      <w:r>
        <w:rPr>
          <w:lang w:bidi="he-IL"/>
          <w:rFonts w:hint="cs" w:cs="FrankRuehl"/>
          <w:szCs w:val="26"/>
          <w:rtl/>
        </w:rPr>
        <w:tab/>
        <w:t xml:space="preserve">תאגיד שניהול עסקיו נתון לפיקוח או לביקורת על פי חוק שנתייחד לעסקים מהסוג שהוא מנהל;</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(5)</w:t>
      </w:r>
      <w:r>
        <w:rPr>
          <w:lang w:bidi="he-IL"/>
          <w:rFonts w:hint="cs" w:cs="FrankRuehl"/>
          <w:szCs w:val="26"/>
          <w:rtl/>
        </w:rPr>
        <w:tab/>
        <w:t xml:space="preserve">מוסד חינוך מוכר, כהגדרתו בחוק לימוד חובה, התש"ט-1949;</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(6)</w:t>
      </w:r>
      <w:r>
        <w:rPr>
          <w:lang w:bidi="he-IL"/>
          <w:rFonts w:hint="cs" w:cs="FrankRuehl"/>
          <w:szCs w:val="26"/>
          <w:rtl/>
        </w:rPr>
        <w:tab/>
        <w:t xml:space="preserve">מוסד להשכלה גבוהה כמשמעותו בחוק המועצה להשכלה גבוהה, התשי"ח-1958;</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(7)</w:t>
      </w:r>
      <w:r>
        <w:rPr>
          <w:lang w:bidi="he-IL"/>
          <w:rFonts w:hint="cs" w:cs="FrankRuehl"/>
          <w:szCs w:val="26"/>
          <w:rtl/>
        </w:rPr>
        <w:tab/>
        <w:t xml:space="preserve">קופת חולים כהגדרתה בחוק ביטוח בריאות ממלכתי, התשנ"ד-1994;</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(8)</w:t>
      </w:r>
      <w:r>
        <w:rPr>
          <w:lang w:bidi="he-IL"/>
          <w:rFonts w:hint="cs" w:cs="FrankRuehl"/>
          <w:szCs w:val="26"/>
          <w:rtl/>
        </w:rPr>
        <w:tab/>
        <w:t xml:space="preserve">ארגון עובדים וארגון מעבידים, וכן תאגיד שבשליטתם; </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(9)</w:t>
      </w:r>
      <w:r>
        <w:rPr>
          <w:lang w:bidi="he-IL"/>
          <w:rFonts w:hint="cs" w:cs="FrankRuehl"/>
          <w:szCs w:val="26"/>
          <w:rtl/>
        </w:rPr>
        <w:tab/>
        <w:t xml:space="preserve">ההסתדרות הציונית העולמית; </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(10)</w:t>
      </w:r>
      <w:r>
        <w:rPr>
          <w:lang w:bidi="he-IL"/>
          <w:rFonts w:hint="cs" w:cs="FrankRuehl"/>
          <w:szCs w:val="26"/>
          <w:rtl/>
        </w:rPr>
        <w:tab/>
        <w:t xml:space="preserve">הסוכנות היהודית לארץ-ישראל;</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(11)</w:t>
      </w:r>
      <w:r>
        <w:rPr>
          <w:lang w:bidi="he-IL"/>
          <w:rFonts w:hint="cs" w:cs="FrankRuehl"/>
          <w:szCs w:val="26"/>
          <w:rtl/>
        </w:rPr>
        <w:tab/>
        <w:t xml:space="preserve">הקרן הקיימת לישראל; </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(12)</w:t>
      </w:r>
      <w:r>
        <w:rPr>
          <w:lang w:bidi="he-IL"/>
          <w:rFonts w:hint="cs" w:cs="FrankRuehl"/>
          <w:szCs w:val="26"/>
          <w:rtl/>
        </w:rPr>
        <w:tab/>
        <w:t xml:space="preserve">קרן היסוד –  המגבית המאוחדת לישראל;</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(13)</w:t>
      </w:r>
      <w:r>
        <w:rPr>
          <w:lang w:bidi="he-IL"/>
          <w:rFonts w:hint="cs" w:cs="FrankRuehl"/>
          <w:szCs w:val="26"/>
          <w:rtl/>
        </w:rPr>
        <w:tab/>
        <w:t xml:space="preserve">כל מפעל, מוסד, קרן או גוף אחר, שהממשלה משתתפת בהנהלתם.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"שליטה" – היכולת לכוון את פעילותו של התאגיד.</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תיכון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הגנה על עובדים (חשיפת עבירות ופגיעה בטוהר המידות או במינהל התקין), תשנ"ז-1997,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9691efba33f49af" /><Relationship Type="http://schemas.openxmlformats.org/officeDocument/2006/relationships/header" Target="/word/header1.xml" Id="r97" /><Relationship Type="http://schemas.openxmlformats.org/officeDocument/2006/relationships/footer" Target="/word/footer1.xml" Id="r98" /></Relationships>
</file>