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075966b64d48f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הדיינים, תשט"ו-1955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כשירותם של דיינים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הרבנים הראשיים, רבנים מקומיים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המינוי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לבחירת דיינים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דיין</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 בועדה</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נשיאים, אבות בתי-דין והרכב בתי הדין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מותבים, מועדים ומקום כהונה</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לכהונה בפועל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דיין עמית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מינוי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תלותם של דיינים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מינהל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כהונתם של דיינים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קיצבה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כהונת דיין</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דיין לסיים דיון</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הון</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דיין למקום אחר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עילות פסלות</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אתיקה לדיינים</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אתיקה</w:t>
                </w:r>
              </w:p>
            </w:tc>
            <w:tc>
              <w:tcPr>
                <w:tcW w:w="800" w:type="pct"/>
              </w:tcPr>
              <w:p>
                <w:pPr>
                  <w:bidi/>
                  <w:spacing w:before="45" w:after="5" w:line="250" w:lineRule="auto"/>
                </w:pPr>
                <w:defaultTabStop w:val="720"/>
                <w:r>
                  <w:rPr>
                    <w:lang w:bidi="he-IL"/>
                    <w:rFonts w:hint="cs" w:cs="Times New Roman"/>
                    <w:szCs w:val="24"/>
                    <w:rtl/>
                  </w:rPr>
                  <w:t xml:space="preserve">סעיף 19ג</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דין משמעתי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 על דיין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מסקנות בית הדין המשמעתי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השעיית דיין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פלילית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הדיינים, תשט"ו-1955</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"דיין" – חבר בית דין רבני כמשמעותו בדבר-המלך-במועצתו, 1922-1947, בחוק בתי הדין הרבניים (אישור מינויים), תשי"ב-1952, ובחוק שיפוט בתי דין רבניים (נישואין וגירושין),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"מועצת הרבנות הראשית" – כמשמעותה בחוק הרבנות הראשית לישראל, התש"ם-1980 (בחוק זה – חוק הרבנות הראשית);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נציב תלונות הציבור על שופטים שמונה לפי סעיף 3 לחוק נציב תלונות הציבור על שופטים, התשס"ב-2002.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 החוק</w:t>
                </w:r>
              </w:p>
            </w:txbxContent>
          </v:textbox>
        </v:rect>
      </w:pict>
      <w:r>
        <w:rPr>
          <w:lang w:bidi="he-IL"/>
          <w:rFonts w:hint="cs" w:cs="FrankRuehl"/>
          <w:szCs w:val="34"/>
          <w:rtl/>
        </w:rPr>
        <w:t xml:space="preserve">2.</w:t>
      </w:r>
      <w:r>
        <w:rPr>
          <w:lang w:bidi="he-IL"/>
          <w:rFonts w:hint="cs" w:cs="FrankRuehl"/>
          <w:szCs w:val="26"/>
          <w:rtl/>
        </w:rPr>
        <w:tab/>
        <w:t xml:space="preserve">חוק זה דן בדיינים של בית הדין הרבני הגדול, המשמש בית דין לערעורים, ושל בתי הדין הרבניים האזוריים.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כשירותם של דיינים</w:t>
                </w:r>
              </w:p>
            </w:txbxContent>
          </v:textbox>
        </v:rect>
      </w:pict>
      <w:r>
        <w:rPr>
          <w:lang w:bidi="he-IL"/>
          <w:rFonts w:hint="cs" w:cs="FrankRuehl"/>
          <w:szCs w:val="34"/>
          <w:rtl/>
        </w:rPr>
        <w:t xml:space="preserve">3.</w:t>
      </w:r>
      <w:r>
        <w:rPr>
          <w:lang w:bidi="he-IL"/>
          <w:rFonts w:hint="cs" w:cs="FrankRuehl"/>
          <w:szCs w:val="26"/>
          <w:rtl/>
        </w:rPr>
        <w:tab/>
        <w:t xml:space="preserve">מי שהוסמך לכך על ידי מועצת הרבנות הראשית תוך שנתיים לפני המינוי, כשיר להתמנות דיין. תנאי ההסמכה וסדריה ייקבעו בתקנות שיתקין השר בהסכמת מועצת הרבנות הראשית.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לא יתמנה דיין מי שאינו 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המועמד למינוי גם בעל אזרחות אחרת ודיני המדינה שהוא אזרח בה מאפשרים את שחרורו מאזרחות זו, לא יתמנה אלא לאחר שעשה את כל הדרוש מצדו לשם שחרורו ממנה.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הרבנים הראשיים, רבנים מקומיים</w:t>
                </w:r>
              </w:p>
            </w:txbxContent>
          </v:textbox>
        </v:rect>
      </w:pict>
      <w:r>
        <w:rPr>
          <w:lang w:bidi="he-IL"/>
          <w:rFonts w:hint="cs" w:cs="FrankRuehl"/>
          <w:szCs w:val="34"/>
          <w:rtl/>
        </w:rPr>
        <w:t xml:space="preserve">4.</w:t>
      </w:r>
      <w:r>
        <w:rPr>
          <w:lang w:bidi="he-IL"/>
          <w:rFonts w:hint="cs" w:cs="FrankRuehl"/>
          <w:szCs w:val="26"/>
          <w:rtl/>
        </w:rPr>
        <w:tab/>
        <w:t xml:space="preserve">הרבנים הראשיים לישראל יהיו דיינים בתוקף תפקידם.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המינוי</w:t>
                </w:r>
              </w:p>
            </w:txbxContent>
          </v:textbox>
        </v:rect>
      </w:pict>
      <w:r>
        <w:rPr>
          <w:lang w:bidi="he-IL"/>
          <w:rFonts w:hint="cs" w:cs="FrankRuehl"/>
          <w:szCs w:val="34"/>
          <w:rtl/>
        </w:rPr>
        <w:t xml:space="preserve">5.</w:t>
      </w:r>
      <w:r>
        <w:rPr>
          <w:lang w:bidi="he-IL"/>
          <w:rFonts w:hint="cs" w:cs="FrankRuehl"/>
          <w:szCs w:val="26"/>
          <w:rtl/>
        </w:rPr>
        <w:tab/>
        <w:t xml:space="preserve">הדיינים יתמנו על ידי נשיא המדינה לפי הצעת הוועדה לבחירת דיינים (להלן – הוועדה) שתובא לפני הנשיא על ידי השר.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לבחירת דיינים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הוועדה תהיה של 13 חברים: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הרבנים הראשיים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דיינים של בית הדין הרבני הגדול שיבחר חבר דייניו לשלוש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שר המשפטים, השר לשירותי דת וחבר אחר של הממשלה שייבחר על ידיה, אולם הממשלה רשאית לבחור שר אחר במקום שר המשפטים – בהסכמתו;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שני חברי כנסת שייבחרו על ידיה בבחירה חשאית ויכהנו כל עוד הם חברי הכנסת, ואם תמה כהונת הכנסת – עד שתבחר הכנסת החדשה חברים אחרים במקומם, והכל בכפוף להוראות חוק הכנסת,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שני עורכי דין העובדים במקצועם, שייבחרו על ידי המועצה הארצית של לשכת עורכי הדין לשלוש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שתי טוענות רבניות העובדות במקצוען, שייבחרו בתוך שלושה חודשים ממועד כינון ממשלה חדשה – האחת על ידי שר המשפטים והשנייה על ידי השר לשירותי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לפחות אחד מנציגי הממשלה בוועדה, לפחות אחד מנציגי הכנסת בוועדה ולפחות אחד מנציגי לשכת עורכי הדין בוועדה יהיו נשים.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הועדה יפורסם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ישמש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תוכל לפעול אף אם פחת מספר חבריה, כל עוד לא פחת משבעה ובהם שני הרבנים הראשיים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סעיפים קטנים (א) ו-(ד), התפנה מקומו של רב ראשי לישראל או של שני הרבנים הראשיים לישראל כאמור בסעיף 20(ד) לחוק הרבנות הראשית, יהיו חברי הועדה במקום שני הרבנים הראשיים לישראל, הרב הראשי לישראל הנותר או מי שקיבל את סמכויותיהם לפי אותו סעיף, בהתאמה.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דיין</w:t>
                </w:r>
              </w:p>
            </w:txbxContent>
          </v:textbox>
        </v:rect>
      </w:pict>
      <w:r>
        <w:rPr>
          <w:lang w:bidi="he-IL"/>
          <w:rFonts w:hint="cs" w:cs="FrankRuehl"/>
          <w:szCs w:val="34"/>
          <w:rtl/>
        </w:rPr>
        <w:t xml:space="preserve">6א.</w:t>
      </w:r>
      <w:r>
        <w:rPr>
          <w:lang w:bidi="he-IL"/>
          <w:rFonts w:hint="cs" w:cs="FrankRuehl"/>
          <w:szCs w:val="26"/>
          <w:rtl/>
        </w:rPr>
        <w:tab/>
        <w:t xml:space="preserve">הועדה לא תציע מינוי של דיין, אם המועמד הורשע בעבירה פלילית שיש בה, בנסיבות הענין, משום קלון.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 בועדה</w:t>
                </w:r>
              </w:p>
            </w:txbxContent>
          </v:textbox>
        </v:rect>
      </w:pict>
      <w:r>
        <w:rPr>
          <w:lang w:bidi="he-IL"/>
          <w:rFonts w:hint="cs" w:cs="FrankRuehl"/>
          <w:szCs w:val="34"/>
          <w:rtl/>
        </w:rPr>
        <w:t xml:space="preserve">6ב.</w:t>
      </w:r>
      <w:r>
        <w:rPr>
          <w:lang w:bidi="he-IL"/>
          <w:rFonts w:hint="cs" w:cs="FrankRuehl"/>
          <w:szCs w:val="26"/>
          <w:rtl/>
        </w:rPr>
        <w:tab/>
        <w:t xml:space="preserve">חבר הועדה יצביע על פי שיקול דעתו, ולא יהיה מחויב להחלטות הגוף שמטעמו הוא חבר בועדה.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בהודעה ברשומות, יודיע שיש למנות דיין ויכנס את הועדה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השר ראה שיש למנות דיין במקום דיין שהתפנה מקומו או בנוסף על הדיינים המכהנים;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התפנה מקומו של דיין ונשיא בית הדין הרבני הגדול ראה שיש למנות דיין אחר במקומו וביקש מהשר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רשאים להציע מועמדים: השר; כל אחד משני הרבנים הראשיים לישראל; שלושה חברי הועדה כאחד.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הצעת הועדה על מינויו של דיין תהיה על דעת רוב חבריה שהשתתפו בהצבעה;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פסקה (1), הצעת הוועדה על מינוי של דיין לבית הדין הרבני הגדול תהיה על דעת עשרה מחברי הוועדה; פחת מספר המשתתפים בהצבעה מ-13, תהיה ההצבעה על דעת רוב המשתתפים שלא יפחת ממספר המשתתפים בהחסיר שניים.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(ג1)</w:t>
        <w:tab/>
      </w:r>
      <w:r>
        <w:rPr>
          <w:lang w:bidi="he-IL"/>
          <w:rFonts w:hint="cs" w:cs="FrankRuehl"/>
          <w:szCs w:val="26"/>
          <w:rtl/>
        </w:rPr>
        <w:t xml:space="preserve">(1)</w:t>
      </w:r>
      <w:r>
        <w:rPr>
          <w:lang w:bidi="he-IL"/>
          <w:rFonts w:hint="cs" w:cs="FrankRuehl"/>
          <w:szCs w:val="26"/>
          <w:rtl/>
        </w:rPr>
        <w:tab/>
        <w:t xml:space="preserve">התקבלה בועדה החלטה בהעדר שני הרבנים הראשיים לישראל, רשאי כל אחד מהם לבקש מהשר לכנס את הועדה כדי לקיים דיון חוזר בענין שלגביו התקבלה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כאמור בפסקה (1) תוגש לא יאוחר מתום 10 ימים ממועד קבלת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השר יכנס את הועדה לשם קיום דיון חוזר בהחלטה בתוך 30 ימים ממועד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החלטה שהתקבלה בדיון חוזר לא ניתן לקיים דיון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שאר סדרי דיוניה ועבודתה של הועדה ייקבעו על ידיה.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נשיאים, אבות בתי-דין והרכב בתי הדין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נשיא בית הדין הרבני הגדול יהיה הרב הראשי לישראל שנקבע לכך לפי חוק הרבנות הראשית.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הרבני הגדול ידון בשלושה; ואולם בעניין מהעניינים הבאים, שקבע השר בתקנות בהסכמת נשיא בית הדין הרבני הגדול ובאישור ועדת החוקה חוק ומשפט של הכנסת, הוא ידון בדיין אחד, אם לא הורה נשיא בית הדין הרבני הגדול הוראה אחרת לעניין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עניינים שלא על ריב;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צווים לעיקול נכסים או לעיכוב יציאה מן הארץ;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עניין שבעלי הדין הסכימו עליו שיידון בדיין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ענייני סדר ומינהל;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עניינים הנדונים במעמד צד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בדין נשיא בית הדין הרבני הגדול, ישב הוא בראש ההרכב; יושב בדין הרב הראשי לישראל שאינו מכהן כנשיא בית הדין הרבני הגדול, ישב הוא בראש ההרכב, ובלבד שבאותו הרכב אינו יושב בדין נשיא בית הדין הרבני הגדול; בהרכב אחר ישב בראש הוותיק שבדייני אותו ההרכב, ובין בעלי ותק שווה – הקשיש שבהם.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נשיא בית הדין הרבני הגדול רשאי למנות להרכב קבוע של שלושה דיינים בבית דין רבני אזורי ומקרב אותם דיינים, אב בית דין אחד, אשר יכהן דרך קבע כראש ההרכב; אב בית דין שעבר לכהן דרך קבע בהרכב אחר ואינו מכהן בו כראש הרכב – יפקע מינויו כאב בית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נשיא בית הדין הרבני הגדול רשאי למנות לבית דין רבני אזורי שבו קיימים לפחות שלושה הרכבים קבועים של שלושה דיינים, ראש אבות בית דין אחד מקרב אבות בית הדין של אותו בית דין, ואולם אם נבחר דיין, ששימש כדיין לפחות שנתיים, לכהונת רב ראשי לעיר שיש בה בית דין רבני אזורי כאמור יהיה הוא ראש אבות בית הדין באותו בית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מינוי של אב בית דין או ראש אבות בית דין לפי סעיף קטן זה יהיה לתקופה שלא תעלה על ארבע שנים, ורשאי נשיא בית הדין הרבני הגדול להאריך את תקופת הכהונה לתקופות כהונה נוספות שכל אחת מהן לא תעלה על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דין רבני אזורי ידון בשלושה; ואולם בענין מהענינים הבאים, שקבע השר בתקנות בהסכמת נשיא בית-הדין הרבני הגדול ובאישור ועדת החוקה חוק ומשפט של הכנסת, הוא ידון בדיין אחד, אם לא הורה נשיא בית הדין הרבני הגדול הוראה אחרת לענין מסויים: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ענינים שלא על ריב;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צווים לעיקול נכסים או לעיכוב יציאה מהארץ;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ענין שבעלי הדין הסכימו עליו שיידון בדיין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ענייני סדר ומינהל;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עניינים הנדונים במעמד צד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(ה1)</w:t>
      </w:r>
      <w:r>
        <w:rPr>
          <w:lang w:bidi="he-IL"/>
          <w:rFonts w:hint="cs" w:cs="FrankRuehl"/>
          <w:szCs w:val="26"/>
          <w:rtl/>
        </w:rPr>
        <w:tab/>
        <w:t xml:space="preserve">בבית הדין הרבני הגדול ובבית הדין הרבני האזורי, במשפטים בהם הוא דן בשלושה, תהא ליושב ראש בית הדין, על אף האמור בסעיפים קטנים (ב) ו-(ה), הסמכות לדון לבדו בבקשות לצווי ביניים, לצווים זמניים ולהחלטות ביניים אחרות, וכן בענייני סדר ומינהל, ורשאי הוא להסמיך לדון בעניינים כאמור חבר אחר של בית-הדין.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(ה2)</w:t>
      </w:r>
      <w:r>
        <w:rPr>
          <w:lang w:bidi="he-IL"/>
          <w:rFonts w:hint="cs" w:cs="FrankRuehl"/>
          <w:szCs w:val="26"/>
          <w:rtl/>
        </w:rPr>
        <w:tab/>
        <w:t xml:space="preserve">על אף האמור בסעיפים קטנים (ב) ו-(ה)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נשיא בית הדין הרבני הגדול רשאי להורות, לפני תחילת הדיון בעניין פלוני, שהדיון בו יהיה לפני מספר בלתי זוגי גדול יותר של דיינים;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מותב שהחל לדון בעניין פלוני רשאי להורות שהמשך הדיון בו יהיה לפני מספר בלתי זוגי גדול יותר של דיינים, ובהם הדיינים שהחלו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יושב בדין ראש אבות בית דין, ישב הוא בראש ההרכב; לא יושב בדין ראש אבות בית דין ויושב בו אב בית דין, ישב הוא בראש ההרכב; לא יושב בדין ראש אבות בית דין ויושב בו יותר מאב בית דין אחד, ישב בראש ההרכב אב בית הדין שקבע נשיא בית הדין הרבני הגדול, ואם לא קבע כאמור – הוותיק בכהונת אב בית דין, ובין בעלי ותק שווה – הקשיש שבהם; בהרכב אחר ישב בראש הוותיק שבדייני אותו ההרכב, ובין בעלי ותק שווה – הקשיש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לענין סעיף זה רואים את הוותק בכהונה כדיין לפי תאריך מינויו של הדיין לבית הדין הרבני הגדול או לבית דין רבני אזורי,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אף האמור בסעיף קטן (ו), דיין עמית לא יהיה אב בית הדין, אלא אם כן קבע נשיא בית הדין הרבני הגדול אחרת לעניין הרכב מסוים.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מותבים, מועדים ומקום כהונה</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נשיא בית הדין הרבני הגדול יקבע כללים לענין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הרכבי הדיינים בבתי הדין הרבניים וחלוקת סוגי הענינים שיידונו לפני כל מותב;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קביעת מועדי הדיון בבתי הדין הרבניים.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בית הדין הרבני הגדול רשאי לקבוע לענין פלוני את המותב שידון בו ואת המועד לתחילת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בית הדין הרבני הגדול יקבע את מקום כהונתו של דיין בבית דין רבני אזורי עם מינויו.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לכהונה בפועל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נשיא בית הדין הרבני הגדול רשאי, בהסכמת המועמד ובהסכמת השר, למנות לכהונה בפועל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דיין בית הדין הרבני הגדול – לראש אבות בית דין, לאב בית דין או לדיין בית דין רבני אזורי;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דיין בית דין רבני אזורי – לדיין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כהונה בפועל לפי סעיף זה, ברציפות או לסירוגין, לא תהיה יותר משנה אחת מתוך תקופה של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מי שהתמנה לכהונה בפועל לפי סעיף זה רשאי לדון גם בעניין הנתון לסמכות בית הדין שבו הוא מכהן דרך קבע, ובלבד שלא ידון באותו עניין בשתי ערכאות.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דיין עמית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השר ונשיא בית הדין הרבני הגדול כאחד, רשאים למנות דיין בית דין רבני אזורי שיצא לקצבה לפי סעיף 16(א)(1), (ב)(1) או (ב)(2), לתפקיד של דיין עמית בבית דין רבני אזורי (בחוק זה – דיין עמית).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דיין כדיין עמית אלא אם כן חלפו 45 ימים מיום שהשר ונשיא בית הדין הרבני הגדול הודיעו לוועדה על הכוונה למנותו ושום חבר ועדה לא הגיש הסתייגות למינוי; הוגשה הסתייגות בתקופה האמורה, תדון בה הוועדה ותחליט אם לאשר את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עמית ימונה לתקופה שלא תעלה על ארבע שנים, והשר ונשיא בית הדין הרבני הגדול רשאים, לפי בחירת הוועדה, להאריך את מינויו לתקופה אחת נוספת שלא תעלה על שנתיים, והכול ובלבד שלא יכהן כדיין עמית מי שגילו עולה על 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עמית יראו אותו כדיין לכל דבר ועניין, ואולם יכול שיכהן במשרה חלקית.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מספר הדיינים העמיתים שיכהנו לא יעלה על 15 אחוזים ממספר התקנים המאוישים של דיינים בבתי הדין הרבניים האזוריים.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10.</w:t>
      </w:r>
      <w:r>
        <w:rPr>
          <w:lang w:bidi="he-IL"/>
          <w:rFonts w:hint="cs" w:cs="FrankRuehl"/>
          <w:szCs w:val="26"/>
          <w:rtl/>
        </w:rPr>
        <w:tab/>
        <w:t xml:space="preserve">מי שנתמנה דיין חייב, בטרם ישב בדין, להצהיר בפני נשיא המדינה ובמעמד הרבנים הראשיים לישראל, הצהרה זו:
"אני מתחייב לשמור אמונים למדינת ישראל, לשפוט את העם משפט צדק, לא להטות משפט ולא להכיר פנים".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מינוי</w:t>
                </w:r>
              </w:p>
            </w:txbxContent>
          </v:textbox>
        </v:rect>
      </w:pict>
      <w:r>
        <w:rPr>
          <w:lang w:bidi="he-IL"/>
          <w:rFonts w:hint="cs" w:cs="FrankRuehl"/>
          <w:szCs w:val="34"/>
          <w:rtl/>
        </w:rPr>
        <w:t xml:space="preserve">11.</w:t>
      </w:r>
      <w:r>
        <w:rPr>
          <w:lang w:bidi="he-IL"/>
          <w:rFonts w:hint="cs" w:cs="FrankRuehl"/>
          <w:szCs w:val="26"/>
          <w:rtl/>
        </w:rPr>
        <w:tab/>
        <w:t xml:space="preserve">דיין שמינויו פורסם ברשומות, אין עוררין על מינויו.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תלותם של דיינים</w:t>
                </w:r>
              </w:p>
            </w:txbxContent>
          </v:textbox>
        </v:rect>
      </w:pict>
      <w:r>
        <w:rPr>
          <w:lang w:bidi="he-IL"/>
          <w:rFonts w:hint="cs" w:cs="FrankRuehl"/>
          <w:szCs w:val="34"/>
          <w:rtl/>
        </w:rPr>
        <w:t xml:space="preserve">12.</w:t>
      </w:r>
      <w:r>
        <w:rPr>
          <w:lang w:bidi="he-IL"/>
          <w:rFonts w:hint="cs" w:cs="FrankRuehl"/>
          <w:szCs w:val="26"/>
          <w:rtl/>
        </w:rPr>
        <w:tab/>
        <w:t xml:space="preserve">אין על דיין מרות בעניני שפיטה זולת מרותו של הדין לפיו הוא דן.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פסק דין של בית דין רבני אזורי ניתן לערעור לפני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אחרת של בית דין רבני אזורי ניתנת לערעור לפני בית הדין הרבני הגדול, אם ניתנה רשות לכך מאת דיין של בית הדין הרבני הגדול.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מינהל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בהסכמת נשיא בית הדין הרבני הגדול, יקבע, בתקנות או בהוראות מינהל, לפי הענין, את סדרי המינהל של בתי הדין הרבניים וימנה על ביצועם את אחד הדיינים או אדם הכשיר להיבחר רב עיר, שיהיה אחראי בפניהם; מינוי לפי סעיף קטן זה של מי שכשיר להיבחר רב עיר טעון אישור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בתי הדין הרבניים שאיננו דיין, מינויו אינו טעון מכרז פומבי ודינו, לענין סעיף 17 ולענין חוק גימלאות לנושאי משרה ברשויות השלטון, התשכ"ט-1969, כדין דיין. </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כהונתם של דיינים</w:t>
                </w:r>
              </w:p>
            </w:txbxContent>
          </v:textbox>
        </v:rect>
      </w:pict>
      <w:r>
        <w:rPr>
          <w:lang w:bidi="he-IL"/>
          <w:rFonts w:hint="cs" w:cs="FrankRuehl"/>
          <w:szCs w:val="34"/>
          <w:rtl/>
        </w:rPr>
        <w:t xml:space="preserve">14.</w:t>
      </w:r>
      <w:r>
        <w:rPr>
          <w:lang w:bidi="he-IL"/>
          <w:rFonts w:hint="cs" w:cs="FrankRuehl"/>
          <w:szCs w:val="26"/>
          <w:rtl/>
        </w:rPr>
        <w:tab/>
        <w:t xml:space="preserve">כהונת דיין תתחיל ביום שהצהיר הצהרת אמונים ולא תסתיים אלא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בצאתו לקיצבה;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בהיבחרו או במינויו לאחד התפקידים שנושאיהם מנועים מלהיות מועמדים לכנסת;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על-פי החלטת הוועדה כאמור בסעיף 16א;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על-פי החלטת בית הדין המשמעתי.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w:t>
                </w:r>
              </w:p>
            </w:txbxContent>
          </v:textbox>
        </v:rect>
      </w:pict>
      <w:r>
        <w:rPr>
          <w:lang w:bidi="he-IL"/>
          <w:rFonts w:hint="cs" w:cs="FrankRuehl"/>
          <w:szCs w:val="34"/>
          <w:rtl/>
        </w:rPr>
        <w:t xml:space="preserve">15.</w:t>
      </w:r>
      <w:r>
        <w:rPr>
          <w:lang w:bidi="he-IL"/>
          <w:rFonts w:hint="cs" w:cs="FrankRuehl"/>
          <w:szCs w:val="26"/>
          <w:rtl/>
        </w:rPr>
        <w:tab/>
        <w:t xml:space="preserve">דיין רשאי להתפטר מכהונתו על ידי הגשת כתב התפטרות לשר, וכהונתו תיפסק בתום שלושה חדשים מהגשת כתב ההתפטרות, אם לא הסכים השר למועד קצר יותר.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קיצבה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דיין יצא לקיצבּה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בהגיעו לגיל שבעים, הוראה זו תחול גם על ראש אבות בית דין המכהן בתפקיד זה מכוח בחירתו לרב עיר ולא תחול על רב ראשי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משקבעה הוועדה, על יסוד חוות דעת רפואית לפי כללים שקבעה, שמחמת מצב בריאותו נבצר ממנו להמשיך במילוי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רשאי לצאת לקיצבּה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שכיהן עשרים שנה, אם הגיע לגיל ששים;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שכיהן חמש עשרה שנה, אם הגיע לגיל ששים וחמש;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ביקש זאת ובקשתו אושרה על ידי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תקופת כהונתו של דיין לענין סעיף קטן (ב) תצורף אל תקופת כהונתו כדיין כל תקופת שירותו במדינה או במוסד אחר שועדת הכספים של הכנסת אישרה אותו לענין זה, או מקצתה של תקופה זו, הכל לפי כללים שקבעה ועדת הכספים.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כהונת דיין</w:t>
                </w:r>
              </w:p>
            </w:txbxContent>
          </v:textbox>
        </v:rect>
      </w:pict>
      <w:r>
        <w:rPr>
          <w:lang w:bidi="he-IL"/>
          <w:rFonts w:hint="cs" w:cs="FrankRuehl"/>
          <w:szCs w:val="34"/>
          <w:rtl/>
        </w:rPr>
        <w:t xml:space="preserve">16א.</w:t>
        <w:tab/>
      </w:r>
      <w:r>
        <w:rPr>
          <w:lang w:bidi="he-IL"/>
          <w:rFonts w:hint="cs" w:cs="FrankRuehl"/>
          <w:szCs w:val="26"/>
          <w:rtl/>
        </w:rPr>
        <w:t xml:space="preserve">(א)</w:t>
      </w:r>
      <w:r>
        <w:rPr>
          <w:lang w:bidi="he-IL"/>
          <w:rFonts w:hint="cs" w:cs="FrankRuehl"/>
          <w:szCs w:val="26"/>
          <w:rtl/>
        </w:rPr>
        <w:tab/>
        <w:t xml:space="preserve">הוועדה רשאית, על פי הצעת יושב ראש הועדה או רב ראשי לישראל המכהן כנשיא בית הדין הרבני הגדול או הנציב, להחליט ברוב של תשעה חברים לפחות, על סיום כהונתו של 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לועדה הצעה לסיים את כהונתו של דיין, רשאית היא למנות מבין חבריה ועדת משנה שתדון בהצעה ותגיש את מימצאיה ומסקנותיה לועדה.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וכן ועדת המשנה, אם נתמנתה, יאפשרו לדיין לעיין בחומר שלפניהן ויתנו לו הזדמנות לטעון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על סיום כהונתו של דיין, תקבע בהחלטתה את המועד לסיום הכהונה, וכן, לפי שיקול דעתה, את שיעור הגימלה שיקבל.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דיין שנפתחה נגדו חקירה בעבירה שבנסיבות הענין יש עמה קלון, לא תקבע הועדה את שיעור הגימלה שיקבל עד לסיום החקירה נגדו והחלטה שלא להעמידו לדין, או עד למתן פסק הדין בענינו,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דיין שנפתחה נגדו חקירה בעבירה כאמור בסעיף קטן (ה), רשאית הועדה ברוב של תשעה חברים לפחות, להשעותו לתקופה שתמצא לנכון.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דיין לסיים דיון</w:t>
                </w:r>
              </w:p>
            </w:txbxContent>
          </v:textbox>
        </v:rect>
      </w:pict>
      <w:r>
        <w:rPr>
          <w:lang w:bidi="he-IL"/>
          <w:rFonts w:hint="cs" w:cs="FrankRuehl"/>
          <w:szCs w:val="34"/>
          <w:rtl/>
        </w:rPr>
        <w:t xml:space="preserve">16ב.</w:t>
        <w:tab/>
      </w:r>
      <w:r>
        <w:rPr>
          <w:lang w:bidi="he-IL"/>
          <w:rFonts w:hint="cs" w:cs="FrankRuehl"/>
          <w:szCs w:val="26"/>
          <w:rtl/>
        </w:rPr>
        <w:t xml:space="preserve">(א)</w:t>
      </w:r>
      <w:r>
        <w:rPr>
          <w:lang w:bidi="he-IL"/>
          <w:rFonts w:hint="cs" w:cs="FrankRuehl"/>
          <w:szCs w:val="26"/>
          <w:rtl/>
        </w:rPr>
        <w:tab/>
        <w:t xml:space="preserve">דיין שהחל בדיון ויצא לקצבה או פרש, יהיה מוסמך לסיים את הדיון בתוך שלושה חודשים מיום היציאה לקצבה או הפרישה.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שהחל בדיון ותקופת מינויו לכהונה נסתיימה מחמת מינוי לערכאה אחרת או משום שהסתיימה תקופת כהונתו בפועל, יהיה מוסמך לסיים את הדיון שהחל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"תחילת דיון" – שמיעת עדות או טענות בעל דין.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ותשלומים אחרים</w:t>
                </w:r>
              </w:p>
            </w:txbxContent>
          </v:textbox>
        </v:rect>
      </w:pict>
      <w:r>
        <w:rPr>
          <w:lang w:bidi="he-IL"/>
          <w:rFonts w:hint="cs" w:cs="FrankRuehl"/>
          <w:szCs w:val="34"/>
          <w:rtl/>
        </w:rPr>
        <w:t xml:space="preserve">17.</w:t>
      </w:r>
      <w:r>
        <w:rPr>
          <w:lang w:bidi="he-IL"/>
          <w:rFonts w:hint="cs" w:cs="FrankRuehl"/>
          <w:szCs w:val="26"/>
          <w:rtl/>
        </w:rPr>
        <w:tab/>
        <w:t xml:space="preserve">משכורתו של דיין והתשלומים האחרים שישולמו לו בתקופת כהונתו ייקבעו על ידי החלטת הכנסת, והיא רשאית להסמיך לכך את ועדת הכספים. החלטות לפי סעיף זה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הון</w:t>
                </w:r>
              </w:p>
            </w:txbxContent>
          </v:textbox>
        </v:rect>
      </w:pict>
      <w:r>
        <w:rPr>
          <w:lang w:bidi="he-IL"/>
          <w:rFonts w:hint="cs" w:cs="FrankRuehl"/>
          <w:szCs w:val="34"/>
          <w:rtl/>
        </w:rPr>
        <w:t xml:space="preserve">17א.</w:t>
      </w:r>
      <w:r>
        <w:rPr>
          <w:lang w:bidi="he-IL"/>
          <w:rFonts w:hint="cs" w:cs="FrankRuehl"/>
          <w:szCs w:val="26"/>
          <w:rtl/>
        </w:rPr>
        <w:tab/>
        <w:t xml:space="preserve">סעיפים 21א עד 21ח לחוק בתי המשפט [נוסח משולב], התשמ"ד-1984, יחולו על דיין,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"נשיא בית המשפט העליון" יקראו "נשיא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"כללי אתיקה לשופטים, התשס"ז-2007" יקראו "כללי אתיקה לדיינים,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21ז, במקום "בסעיף 19(1) עד (3)" יקראו "בסעיף 21א(1) עד (3)" ובמקום "לבית הדין" יקראו "לבית הדין המשמעתי לדיינים".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18.</w:t>
      </w:r>
      <w:r>
        <w:rPr>
          <w:lang w:bidi="he-IL"/>
          <w:rFonts w:hint="cs" w:cs="FrankRuehl"/>
          <w:szCs w:val="26"/>
          <w:rtl/>
        </w:rPr>
        <w:tab/>
        <w:t xml:space="preserve">דיין לא יהיה חבר בכנסת או במועצה של רשות מקומית או במועצה דתית; אולם רשאי הוא, בהסכמתו ובהסכמת השר ונשיא בית הדין הרבני הגדול, למלא באורח זמני תפקיד אחר מטעם המדינה או למלא תפקיד ציבורי אחר, אם לדעתם אין הדבר פוגע במעמדו כדיין.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דיין למקום אחר</w:t>
                </w:r>
              </w:p>
            </w:txbxContent>
          </v:textbox>
        </v:rect>
      </w:pict>
      <w:r>
        <w:rPr>
          <w:lang w:bidi="he-IL"/>
          <w:rFonts w:hint="cs" w:cs="FrankRuehl"/>
          <w:szCs w:val="34"/>
          <w:rtl/>
        </w:rPr>
        <w:t xml:space="preserve">19.</w:t>
      </w:r>
      <w:r>
        <w:rPr>
          <w:lang w:bidi="he-IL"/>
          <w:rFonts w:hint="cs" w:cs="FrankRuehl"/>
          <w:szCs w:val="26"/>
          <w:rtl/>
        </w:rPr>
        <w:tab/>
        <w:t xml:space="preserve">ראה השר צורך, מסיבות מינהליות, להעביר דיין דרך קבע לבית דין רבני שבמקום אחר, יקבל תחילה את הסכמת נשיא בית הדין הרבני הגדול לאותה העברה.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עילות פסלות</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דיין לא ישב בדין אם מצא, מיזמתו או לבקשת בעל דין, כי קיימות נסיבות שיש בהן כדי ליצור חשש ממשי למשוא פנים בניהול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דיין לא ישב בדין בידעו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הדיין או שקיימת ביניהם קרבה ממשית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לדיין ענין כספי ממשי או ענין אישי ממשי בהליך או בתוצאותיו, בצד להליך, בבא כוחו או בעד מרכזי, או שלבן משפחה מדרגה ראשונה של הדיין יש ענין כספי ממשי או ענין אישי ממשי בהליך או בתוצאותיו, בצד להליך או בבא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לדיין היה הדיין מעורב באותו ענין הנדון בהליך שלפניו כבא כוח, כבורר, כמגשר, כעד, כיועץ מקצועי, כמומחה, או בדרך דומה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סעיף קטן זה –
"בן משפחה" – בן זוג, הורה, הורה של בן זוג, ילד, אח, סב, נכד וכן ילד או בן זוג של כל אחד מאלה ולרבות מי שהיה אפוטרופוס או מי ששימש משפחה אומנת של הדיין או שהדיין היה אפוטרופסו או שימש משפחה אומנת שלו;
"בן משפחה מדרגה ראשונה" – בן זוג, הורה, ילד, אח וכן ילד או בן זוג של כל אחד מאלה ולרבות מי שהיה אפוטרופוס או מי ששימש משפחה אומנת של הדיין או שהדיין היה אפוטרופסו או שימש משפחה אומנת שלו;
"עד מרכזי" – עד שנדרשת הערכת מהימנותו לצורך הכרעה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דיין רשאי לשבת בדין אם מפאת דחיפות הענין לא ניתן לקיים את ההליך לפני דיין אחר ועלול להיגרם נזק חמור או עיוות דין אם לא ידון בענין.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(ב)(2), דיין רשאי לשבת בדין אם העברת הענין לכל דיין אחר לא תשנה את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נטענה טענת פסלות נגד דיין, יחליט בה אותו דיין לאלתר ולפני שייתן כל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התקיימה עילת פסלות לפי סעיף קטן (ב)(1) או (2), הנוגעת לעורך דין או לבא כוח אחר, שהתקיימו בו נסיבות המחייבות קבלת היתר לייצוג כאמור בסעיף 53ב לחוק לשכת עורכי הדין, התשכ"א-1961 (בחוק זה – חוק לשכת עורכי הדין), רשאי בית הדין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דיין; התיר בית הדין את הייצוג כאמור, לא ישב בדין הדיין שלגביו התקיימה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החלטת דיין או בית דין לפי סעיף זה תהיה מנומקת, ורשאי בעל דין לערער עליה לפני בית הדין הרבני הגדול; בערעור ידון נשיא בית הדין הרבני הגדול, או מותב של דיינים של בית הדין הרבני הגדול, או אחד הדיינים של בית הדין הרבני הגדול, הכל כפי שיקבע הנשיא.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דין שבדעתו לערער על החלטת דיין או בית דין לפי סעיף זה יודיע על כך לבית הדין, ומשהודיע כך, יופסק הדיון עד להחלטה בערעור, זולת אם החליט הדיין או בית הדין, לפי הענין, מנימוקים שיירשמו, שיש להמשיך בהליך; הוחלט להמשיך בדיון והוגש הערעור, רשאי נשיא בית הדין הרבני הגדול או מי שדן בערעור להורות, לבקשת המערער בכתב הערעור, על הפסקת ההליך עד להחלטה בערעור.</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אתיקה לדיינים</w:t>
                </w:r>
              </w:p>
            </w:txbxContent>
          </v:textbox>
        </v:rect>
      </w:pict>
      <w:r>
        <w:rPr>
          <w:lang w:bidi="he-IL"/>
          <w:rFonts w:hint="cs" w:cs="FrankRuehl"/>
          <w:szCs w:val="34"/>
          <w:rtl/>
        </w:rPr>
        <w:t xml:space="preserve">19ב.</w:t>
      </w:r>
      <w:r>
        <w:rPr>
          <w:lang w:bidi="he-IL"/>
          <w:rFonts w:hint="cs" w:cs="FrankRuehl"/>
          <w:szCs w:val="26"/>
          <w:rtl/>
        </w:rPr>
        <w:tab/>
        <w:t xml:space="preserve">נשיא בית הדין הרבני הגדול, בהסכמת חבר דייני בית הדין הרבני הגדול ולאחר התייעצות עם השר, רשאי לקבוע כללי אתיקה לדיינים.</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אתיקה</w:t>
                </w:r>
              </w:p>
            </w:txbxContent>
          </v:textbox>
        </v:rect>
      </w:pict>
      <w:r>
        <w:rPr>
          <w:lang w:bidi="he-IL"/>
          <w:rFonts w:hint="cs" w:cs="FrankRuehl"/>
          <w:szCs w:val="34"/>
          <w:rtl/>
        </w:rPr>
        <w:t xml:space="preserve">19ג.</w:t>
        <w:tab/>
      </w:r>
      <w:r>
        <w:rPr>
          <w:lang w:bidi="he-IL"/>
          <w:rFonts w:hint="cs" w:cs="FrankRuehl"/>
          <w:szCs w:val="26"/>
          <w:rtl/>
        </w:rPr>
        <w:t xml:space="preserve">(א)</w:t>
      </w:r>
      <w:r>
        <w:rPr>
          <w:lang w:bidi="he-IL"/>
          <w:rFonts w:hint="cs" w:cs="FrankRuehl"/>
          <w:szCs w:val="26"/>
          <w:rtl/>
        </w:rPr>
        <w:tab/>
        <w:t xml:space="preserve">נשיא בית הדין הרבני הגדול, לאחר התייעצות עם השר, ימנה ועדת אתיקה בת שלושה חברים, והם: דיין של בית הדין הרבני הגדול, והוא יהיה היושב ראש, ושני דיינים של בית דין רבני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תיתן חוות דעת מקדימה בעניני אתיקה של דיינים, לפי פניה של דיין שכללי האתיקה לדיינים שנקבעו לפי סעיף 19ב חלים עליו – בענין הנוגע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ועדת האתיקה ימונה לתקופה אחת של שש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האתיקה תפרסם חוות דעת מקדימה שנתנה, בלא ציון שמו של מי שלגביו ניתנה חוות הדעת ופרטים מזהים אחרים, אלא אם כן החליטה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האתיקה תקבע את נוהלי עבודתה וסדרי דיוניה,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דין משמעתי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כל דיין יהיה נתון לשיפוטו של בית דין 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יהיה של חמישה ובהם שלושה דיינים, או של שלושה ובהם שני דיינים, הכל כפי שנשיא בית הדין הרבני הגדול יקבע לכל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בית הדין המשמעתי יתמנו לכל ענין על ידי חבר הדיינים של בית הדין הרבני הגדול; לא מינה חבר הדיינים של בית הדין הרבני הגדול את חברי בית הדין המשמעתי תוך 30 יום מיום שהוגשה קובלנה בידי השר, ימנה נשיא בית הדין הרבני הגדול, את חברי בית הדין המשמעתי.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אב בית הדין המשמעתי יהיה נשיא בית הדין הרבני הגדול או הותיק שבין שאר הדיינים, הכל לפי ההרכב, ומבין בעלי ותק שווה – הקשיש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בהסכמת נשיא בית הדין הרבני הגדול, רשאי להתקין תקנות לענין סדרי הדין בבית הדין המשמעתי.</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 על דיין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השר, בהתייעצות עם נשיא בית הדין הרבני הגדול, רשאי להגיש לבית הדין המשמעתי קובלנה על דיין על יסוד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הדיין נהג שלא כהלכה במילוי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הדיין התנהג באופן שאינו הולם את מעמדו של דיין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הדיין הורשע על עבירה שבנסיבות הענין יש בה משום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הוועדה מצאה שהדיין השיג את מינויו שלא כדין.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הדיין הפר כלל מכללי האתיקה לדיינים שנקבעו לפי סעיף 19ב.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מגיש הקובלנה רשאי להיות מיוצג בפני בית הדין המשמעתי על ידי בא כוחו.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21א.</w:t>
      </w:r>
      <w:r>
        <w:rPr>
          <w:lang w:bidi="he-IL"/>
          <w:rFonts w:hint="cs" w:cs="FrankRuehl"/>
          <w:szCs w:val="26"/>
          <w:rtl/>
        </w:rPr>
        <w:tab/>
        <w:t xml:space="preserve">אמצעי המשמעת שבית הדין המשמעתי מוסמך להטיל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העברה למקום כהונה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העברה מן הכהונה, בין בתשלום קצבה ובין בשלילתה, כולה או מקצתה.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מסקנות בית הדין המשמעתי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בית הדין המשמעתי יביא את החלטותיו, לזכות או לחובה,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22א.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השעיית דיין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הוגשה על דיין קובלנה על פי סעיף 21, או הוגשה נגדו תביעה פלילית, רשאי נשיא בית הדין הרבני הגדול להשעות את הדיין לתקופה שימצאו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רשאי, על פי בקשת הדיין, לבטל את השעייתו.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24.</w:t>
      </w:r>
      <w:r>
        <w:rPr>
          <w:lang w:bidi="he-IL"/>
          <w:rFonts w:hint="cs" w:cs="FrankRuehl"/>
          <w:szCs w:val="26"/>
          <w:rtl/>
        </w:rPr>
        <w:tab/>
        <w:t xml:space="preserve">הודעה על מינוי דיין ועל גמר כהונתו של דיין וכן הודעה על קביעת נשיא בית הדין הרבני הגדול כאמור בסעיף 8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פלילית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לא תיפתח חקירה פלילית נגד דיין אלא בהסכמת היועץ המשפטי לממשלה, ולא יוגש כתב אישום נגד דיין, אלא בידי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עבירה שנקבעה כעבירת קנס לפי כל חיקוק ועל עבירה מינהלית שדינה קנס מינהלי קצוב.</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מי שכיהן כדיין ערב תחילתו של 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רואים אותו כאילו נתמנה על 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יצהיר אמונים לפי סעיף 10 תוך שני חדשים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שכיהן כמנהל המחלקה לרבנות ושיפוט רבני במשרד הדתות ערב תחילתו של חוק זה, כשיר להיות ממונה על ביצוע סדרי המינהל של בתי הדין הרבניים, כאמור בסעיף 13.</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לביצועו, לרבות קביעת אגרות שישולמו בבתי דין רבניים; השר, בהסכמת נשיא בית הדין הרבני הגדול, ובהתייעצות עם חבר דייני בית הדין הרבני הגדול ומועצת הרבנות הראשית לישראל, רשאי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סדרי הדין בבתי הדין הרבניים;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 סדרי ייצוגם של בעלי דין לפני בתי דין רבניים על ידי מי שאינו 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את הסמכויות המינהליות של ראשי אבות בית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זה טעונות אישור ועדת החוקה חוק ומשפט של הכנסת.</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תקנות כנסת ישראל ותקנות הבחירות שהותקנו על פיהן, לא יחולו על מינוי דיינים.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החוק לקביעת משכורתם של נשיא המדינה, חברי הממשלה, שופטי המדינה ומבקר המדינה, תשי"א-1950 – לא יחול על משכורתם של דיינים שחוק זה דן בהם.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29.</w:t>
      </w:r>
      <w:r>
        <w:rPr>
          <w:lang w:bidi="he-IL"/>
          <w:rFonts w:hint="cs" w:cs="FrankRuehl"/>
          <w:szCs w:val="26"/>
          <w:rtl/>
        </w:rPr>
        <w:tab/>
        <w:t xml:space="preserve">(בוטל)</w:t>
      </w:r>
    </w:p>
    <w:p>
      <w:pPr>
        <w:bidi/>
        <w:spacing w:before="70" w:after="5" w:line="250" w:lineRule="auto"/>
        <w:jc w:val="center"/>
      </w:pPr>
      <w:defaultTabStop w:val="720"/>
      <w:bookmarkStart w:name="h44" w:id="44"/>
      <w:bookmarkEnd w:id="4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(פקעה)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שפירא</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שפרינצק</w:t>
                </w:r>
              </w:p>
              <w:p>
                <w:pPr>
                  <w:bidi/>
                  <w:spacing w:before="45" w:after="3" w:line="250" w:lineRule="auto"/>
                  <w:jc w:val="center"/>
                </w:pPr>
                <w:defaultTabStop w:val="720"/>
                <w:r>
                  <w:rPr>
                    <w:lang w:bidi="he-IL"/>
                    <w:rFonts w:hint="cs" w:cs="FrankRuehl"/>
                    <w:szCs w:val="22"/>
                    <w:rtl/>
                  </w:rPr>
                  <w:t xml:space="preserve">יושב ראש הכנסתממלא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הדיינים, תשט"ו-1955,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a825bf19d6454e" /><Relationship Type="http://schemas.openxmlformats.org/officeDocument/2006/relationships/header" Target="/word/header1.xml" Id="r97" /><Relationship Type="http://schemas.openxmlformats.org/officeDocument/2006/relationships/footer" Target="/word/footer1.xml" Id="r98" /></Relationships>
</file>