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1873d6472274a5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הנזיקים האזרחיים (אחריות המדינה), תשי"ב-1952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המדינה בנזיקים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מעשה בתחום הרשאה חוקית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פעולה מלחמתית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תביעות בשל פעולות כוחות הביטחון באזור</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תביעות אויב ופעיל או חבר בארגון מחבלים</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המשפט המוסמך</w:t>
                </w:r>
              </w:p>
            </w:tc>
            <w:tc>
              <w:tcPr>
                <w:tcW w:w="800" w:type="pct"/>
              </w:tcPr>
              <w:p>
                <w:pPr>
                  <w:bidi/>
                  <w:spacing w:before="45" w:after="5" w:line="250" w:lineRule="auto"/>
                </w:pPr>
                <w:defaultTabStop w:val="720"/>
                <w:r>
                  <w:rPr>
                    <w:lang w:bidi="he-IL"/>
                    <w:rFonts w:hint="cs" w:cs="Times New Roman"/>
                    <w:szCs w:val="24"/>
                    <w:rtl/>
                  </w:rPr>
                  <w:t xml:space="preserve">סעיף 5ב1</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5ג</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 הראשונה בצו</w:t>
                </w:r>
              </w:p>
            </w:tc>
            <w:tc>
              <w:tcPr>
                <w:tcW w:w="800" w:type="pct"/>
              </w:tcPr>
              <w:p>
                <w:pPr>
                  <w:bidi/>
                  <w:spacing w:before="45" w:after="5" w:line="250" w:lineRule="auto"/>
                </w:pPr>
                <w:defaultTabStop w:val="720"/>
                <w:r>
                  <w:rPr>
                    <w:lang w:bidi="he-IL"/>
                    <w:rFonts w:hint="cs" w:cs="Times New Roman"/>
                    <w:szCs w:val="24"/>
                    <w:rtl/>
                  </w:rPr>
                  <w:t xml:space="preserve">סעיף 5ד</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חבלה, מחלה או החמרת מחלה שאירעו בשירות צבאי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מוות שאירע בשירות צבאי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 לענין חוקי שיקום</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מאחריות בנזיקים שלוחי המדינה</w:t>
                </w:r>
              </w:p>
            </w:tc>
            <w:tc>
              <w:tcPr>
                <w:tcW w:w="800" w:type="pct"/>
              </w:tcPr>
              <w:p>
                <w:pPr>
                  <w:bidi/>
                  <w:spacing w:before="45" w:after="5" w:line="250" w:lineRule="auto"/>
                </w:pPr>
                <w:defaultTabStop w:val="720"/>
                <w:r>
                  <w:rPr>
                    <w:lang w:bidi="he-IL"/>
                    <w:rFonts w:hint="cs" w:cs="Times New Roman"/>
                    <w:szCs w:val="24"/>
                    <w:rtl/>
                  </w:rPr>
                  <w:t xml:space="preserve">סעיף 7ב</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המדינה לשיפוי</w:t>
                </w:r>
              </w:p>
            </w:tc>
            <w:tc>
              <w:tcPr>
                <w:tcW w:w="800" w:type="pct"/>
              </w:tcPr>
              <w:p>
                <w:pPr>
                  <w:bidi/>
                  <w:spacing w:before="45" w:after="5" w:line="250" w:lineRule="auto"/>
                </w:pPr>
                <w:defaultTabStop w:val="720"/>
                <w:r>
                  <w:rPr>
                    <w:lang w:bidi="he-IL"/>
                    <w:rFonts w:hint="cs" w:cs="Times New Roman"/>
                    <w:szCs w:val="24"/>
                    <w:rtl/>
                  </w:rPr>
                  <w:t xml:space="preserve">סעיף 7ג</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נכסים מוקנים למדינה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הוראות חוק מיוחדות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המשפטים הממשלתיים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חוק הנזיקים האזרחיים (אחריות המדינה), תשי"ב-1952</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פירושים</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"הפקודה" פירושו – פקודת הנזיקים האזרחיים, 1944;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"מעשה" – לרבות מחדל;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"אחריות בנזיקים" פירושו – אחריות לפי הפקודה על מעשה שנעשה לאחר תחילת תקפו של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מלחמתית" – לרבות כל פעולה של לחימה בטרור, במעשי איבה או בהתקוממות, וכן פעולה לשם מניעתם של טרור, מעשי איבה או התקוממות שהיא פעולה בעלת אופי לוחמתי, בהתחשב במכלול נסיבותיה, ובכלל זה במטרת הפעולה, במיקומה הגאוגרפי או באיום הנשקף לכוח המבצע אותה;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מונחים אחרים משמעותם כמשמעות הנודעת להם בפקודה.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המדינה בנזיקים</w:t>
                </w:r>
              </w:p>
            </w:txbxContent>
          </v:textbox>
        </v:rect>
      </w:pict>
      <w:r>
        <w:rPr>
          <w:lang w:bidi="he-IL"/>
          <w:rFonts w:hint="cs" w:cs="FrankRuehl"/>
          <w:szCs w:val="34"/>
          <w:rtl/>
        </w:rPr>
        <w:t xml:space="preserve">2.</w:t>
      </w:r>
      <w:r>
        <w:rPr>
          <w:lang w:bidi="he-IL"/>
          <w:rFonts w:hint="cs" w:cs="FrankRuehl"/>
          <w:szCs w:val="26"/>
          <w:rtl/>
        </w:rPr>
        <w:tab/>
        <w:t xml:space="preserve">דין המדינה, לענין אחריות בנזיקים, כדין כל גוף מואגד, פרט לאמור להלן בחוק זה.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מעשה בתחום הרשאה חוקית</w:t>
                </w:r>
              </w:p>
            </w:txbxContent>
          </v:textbox>
        </v:rect>
      </w:pict>
      <w:r>
        <w:rPr>
          <w:lang w:bidi="he-IL"/>
          <w:rFonts w:hint="cs" w:cs="FrankRuehl"/>
          <w:szCs w:val="34"/>
          <w:rtl/>
        </w:rPr>
        <w:t xml:space="preserve">3.</w:t>
      </w:r>
      <w:r>
        <w:rPr>
          <w:lang w:bidi="he-IL"/>
          <w:rFonts w:hint="cs" w:cs="FrankRuehl"/>
          <w:szCs w:val="26"/>
          <w:rtl/>
        </w:rPr>
        <w:tab/>
        <w:t xml:space="preserve">אין המדינה אחראית בנזיקים על מעשה שנעשה בתחום הרשאה חוקית, מתוך אמונה סבירה ובתום לב בקיומה של הרשאה חוקית; אולם אחראית היא על רשלנות שבמעשה.</w:t>
      </w:r>
    </w:p>
    <w:p>
      <w:pPr>
        <w:bidi/>
        <w:spacing w:before="45" w:after="50" w:line="250" w:lineRule="auto"/>
        <w:ind/>
        <w:jc w:val="both"/>
        <w:tabs>
          <w:tab w:pos="720"/>
          <w:tab w:pos="1440"/>
          <w:tab w:pos="2160"/>
          <w:tab w:pos="2880"/>
          <w:tab w:pos="3600"/>
        </w:tabs>
        <w:ind w:start="720" w:hanging="720"/>
      </w:pPr>
      <w:defaultTabStop w:val="720"/>
      <w:bookmarkStart w:name="h4" w:id="4"/>
      <w:bookmarkEnd w:id="4"/>
      <w:r>
        <w:rPr>
          <w:lang w:bidi="he-IL"/>
          <w:rFonts w:hint="cs" w:cs="FrankRuehl"/>
          <w:szCs w:val="34"/>
          <w:rtl/>
        </w:rPr>
        <w:t xml:space="preserve">4.</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פעולה מלחמתית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אין המדינה אחראית בנזיקים על מעשה שנעשה על ידי פעולה מלחמתית של צבא-הגנה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טענה המדינה, כטענה מקדמית, כי אינה אחראית בנזיקים בשל כך שהמעשה שבשלו נתבעה הוא פעולה מלחמתית כאמור בסעיף קטן (א), ידון בית המשפט בטענה לאלתר, ואם מצא כי המעשה הוא פעולה מלחמתית כאמור, ידחה את התביעה.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תביעות בשל פעולות כוחות הביטחון באזור</w:t>
                </w:r>
              </w:p>
            </w:txbxContent>
          </v:textbox>
        </v:rect>
      </w:pict>
      <w:r>
        <w:rPr>
          <w:lang w:bidi="he-IL"/>
          <w:rFonts w:hint="cs" w:cs="FrankRuehl"/>
          <w:szCs w:val="34"/>
          <w:rtl/>
        </w:rPr>
        <w:t xml:space="preserve">5א.</w:t>
      </w:r>
      <w:r>
        <w:rPr>
          <w:lang w:bidi="he-IL"/>
          <w:rFonts w:hint="cs" w:cs="FrankRuehl"/>
          <w:szCs w:val="26"/>
          <w:rtl/>
        </w:rPr>
        <w:tab/>
        <w:t xml:space="preserve">תובענה נגד המדינה או נגד שלוח של המדינה בשל נזק שנגרם באזור כתוצאה ממעשה שנעשה על ידי צבא הגנה לישראל (בסעיף זה – תובענה) תידון בכפוף להוראות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"אזור" – כל אחד מאלה: יהודה והשומרון וחבל עזה;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"צבא הגנה לישראל" – לרבות כוחות ביטחון אחרים של מדינת ישראל הפועלים באזור;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(2)</w:t>
        <w:tab/>
      </w:r>
      <w:r>
        <w:rPr>
          <w:lang w:bidi="he-IL"/>
          <w:rFonts w:hint="cs" w:cs="FrankRuehl"/>
          <w:szCs w:val="26"/>
          <w:rtl/>
        </w:rPr>
        <w:t xml:space="preserve">(א)</w:t>
      </w:r>
      <w:r>
        <w:rPr>
          <w:lang w:bidi="he-IL"/>
          <w:rFonts w:hint="cs" w:cs="FrankRuehl"/>
          <w:szCs w:val="26"/>
          <w:rtl/>
        </w:rPr>
        <w:tab/>
        <w:t xml:space="preserve">לא ידון בית המשפט בתובענה אלא אם כן הנפגע או אפוטרופסו או אחר מטעמו נתן הודעה בכתב, כפי שייקבע בתקנות, על המעשה נושא התובענה;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ההודעה תינתן בתוך 60 ימים מיום המעשה; ואולם אם מחמת מצב בריאותו של התובע או אפוטרופסו, או מחמת נסיבות מוצדקות אחרות נבצר ממנו לתת את ההודעה בתוך המועד האמור, תינתן ההודעה בתוך 30 ימים מהיום שבו הוסרה המניעה;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נפטר הנפגע ולא ניתנה הודעה בעודו בחיים, וטרם חלף המועד למתן הודעה לפי סעיף קטן (ב), תינתן ההודעה על ידי התלויים בו או על ידי עיזבונו, או על ידי אחר מטעמם בתוך 60 ימים מיום פטירתו;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על אף האמור בפסקה זו, רשאי בית המשפט, מטעמים מיוחדים שיירשמו, לדון בתובענה בשל מעשה שהודעה עליו לא נמסרה במועד;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ידון בית המשפט בתובענה שהוגשה לאחר שחלפו שנתיים מיום המעשה נושא התובענה, ואולם רשאי בית המשפט, אם שוכנע כי לא היתה בידי התובע אפשרות סבירה להגיש את תביעתו בתוך התקופה האמורה, להאריך את התקופה בתקופה נוספת שלא תעלה על שנה אחת; היה התובע קטין ביום המעשה, תקופת ההארכה כאמור לא תעלה על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הוראות סעיפים 38 ו-41 לפקודת הנזיקין [נוסח חדש] לא יחולו בדיון בתובענה, ואולם רשאי בית המשפט לקבוע כי יחולו הוראות סעיפים אלה אם מצא כי הדבר מוצדק בנסיבות הענין ומטעמים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נוכח בית המשפט כי נשללה מהמדינה הזדמנות הוגנת להתגונן בתובענה כתוצאה מכך שהמועצה הפלשתינית אינה מקיימת את ההוראות בדבר עזרה משפטית בהתאם להסכם, רשאי הוא, לאחר שנתן לצדדים הזדמנות לטעון את טענותיהם לענין זה, לדחות את התובענה; בפסקה זו, "ההסכם" – כהגדרתו בחוק להארכת תוקפן של תקנות שעת חירום (יהודה והשומרון וחבל עזה – שיפוט בעבירות ועזרה משפטית), התשכ"ח-1967; "המועצה הפלשתינית", כהגדרת "המועצה" בחוק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שר הביטחון ממונה על ביצוע סעיף זה והוא רשאי, בהתייעצות עם שר המשפטים, ובאישור ועדת החוקה חוק ומשפט של הכנסת, להתקין תקנות בכל הנוגע לביצועו.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תביעות אויב ופעיל או חבר בארגון מחבלים</w:t>
                </w:r>
              </w:p>
            </w:txbxContent>
          </v:textbox>
        </v:rect>
      </w:pict>
      <w:r>
        <w:rPr>
          <w:lang w:bidi="he-IL"/>
          <w:rFonts w:hint="cs" w:cs="FrankRuehl"/>
          <w:szCs w:val="34"/>
          <w:rtl/>
        </w:rPr>
        <w:t xml:space="preserve">5ב.</w:t>
        <w:tab/>
      </w:r>
      <w:r>
        <w:rPr>
          <w:lang w:bidi="he-IL"/>
          <w:rFonts w:hint="cs" w:cs="FrankRuehl"/>
          <w:szCs w:val="26"/>
          <w:rtl/>
        </w:rPr>
        <w:t xml:space="preserve">(א)</w:t>
      </w:r>
      <w:r>
        <w:rPr>
          <w:lang w:bidi="he-IL"/>
          <w:rFonts w:hint="cs" w:cs="FrankRuehl"/>
          <w:szCs w:val="26"/>
          <w:rtl/>
        </w:rPr>
        <w:tab/>
        <w:t xml:space="preserve">על אף האמור בכל דין, אין המדינה אחראית בנזיקים לנזק שנגרם למי שמפורט בפסקאות (1), (2) או (3), למעט לנזק שנגרם בסוגי תביעות או לסוגי תובעים כאמור בתוספת הראשונה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נתין של מדינה שהיא אויב או מי שאינו אזרח ישראלי, שהוא תושב שטח מחוץ לישראל שהממשלה הכריזה עליו, בצו, כשטח אויב, אלא אם כן הוא שוהה כדין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פעיל או חבר בארגון מחבלים;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שניזוק בעת שפעל בשליחותו או מטעמו של נתין מדינת אויב, חבר או פעיל בארגון מחבלים.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"אויב" ו"ארגון מחבלים" – כהגדרתם בסעיף 91 לחוק העונשין, התשל"ז-1977;</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"המדינה" – לרבות רשות, גוף או אדם הפועלים מטעמה.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המשפט המוסמך</w:t>
                </w:r>
              </w:p>
            </w:txbxContent>
          </v:textbox>
        </v:rect>
      </w:pict>
      <w:r>
        <w:rPr>
          <w:lang w:bidi="he-IL"/>
          <w:rFonts w:hint="cs" w:cs="FrankRuehl"/>
          <w:szCs w:val="34"/>
          <w:rtl/>
        </w:rPr>
        <w:t xml:space="preserve">5ב1.</w:t>
      </w:r>
      <w:r>
        <w:rPr>
          <w:lang w:bidi="he-IL"/>
          <w:rFonts w:hint="cs" w:cs="FrankRuehl"/>
          <w:szCs w:val="26"/>
          <w:rtl/>
        </w:rPr>
        <w:tab/>
        <w:t xml:space="preserve">תובענה כאמור בסעיף 5א, וכן תובענה כאמור בסעיף 5ב לרבות בסוגי תביעות או לסוגי תובעים כאמור בתוספת הראשונה, יוגשו לבית המשפט המוסמך במחוז הקרוב ביותר למקום המעשה שבשלו תובעים, מבין המחוזות ירושלים והדרום.</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5ג.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 הראשונה בצו</w:t>
                </w:r>
              </w:p>
            </w:txbxContent>
          </v:textbox>
        </v:rect>
      </w:pict>
      <w:r>
        <w:rPr>
          <w:lang w:bidi="he-IL"/>
          <w:rFonts w:hint="cs" w:cs="FrankRuehl"/>
          <w:szCs w:val="34"/>
          <w:rtl/>
        </w:rPr>
        <w:t xml:space="preserve">5ד.</w:t>
      </w:r>
      <w:r>
        <w:rPr>
          <w:lang w:bidi="he-IL"/>
          <w:rFonts w:hint="cs" w:cs="FrankRuehl"/>
          <w:szCs w:val="26"/>
          <w:rtl/>
        </w:rPr>
        <w:tab/>
        <w:t xml:space="preserve">שר הביטחון, לאחר התייעצות עם שר המשפטים, ובאישור ועדת החוקה חוק ומשפט של הכנסת, רשאי לשנות בצו את התוספת הראשונה.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חבלה, מחלה או החמרת מחלה שאירעו בשירות צבאי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אין המדינה אחראית בנזיקים על חבלה שנחבל חייל בתקופת שירותו ועקב שירותו, ואולם לעניין חייל בשירות קבע – אין המדינה אחראית בנזיקים על חבלה כאמור שהיא חבלת 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המדינה אחראית בנזיקים על מחלה או החמרת מחלה שנגרמו לחייל בתקופת שירותו ועקב שירותו, ואולם לעניין חייל בשירות קבע – אין המדינה אחראית בנזיקים על מחלה או על החמרת מחלה כאמור שהיא מחלת 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"חבלה", "חבלת שירות", "מחלה", "מחלת שירות", "שירות צבאי" ו"שירות" – כהגדרתם בחוק הנכים;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הנכים" – חוק הנכים (תגמולים ושיקום), התשי"ט-1959 [נוסח משולב];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"חייל בשירות קבע" – חייל בשירות קבע כהגדרתו בחוק הנכים, למעט חייל כאמור המשרת בשירות קבע ברציפות לשירות החובה, כמשמעותו בסעיף 2ב לחוק האמור, במהלך התקופה האמורה באותו סעיף.</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מוות שאירע בשירות צבאי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אין המדינה אחראית בנזיקים על מותו של חייל כתוצאה מחבלה שנחבל בה בתקופת שירותו ועקב שירותו, ואולם לעניין חייל בשירות קבע – אין המדינה אחראית בנזיקים על מותו כתוצאה מחבלה כאמור שהיא חבלת 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המדינה אחראית בנזיקים על מותו של חייל, כתוצאה ממחלה או החמרת מחלה שנגרמו לחייל בתקופת שירותו ועקב שירותו, ואולם לעניין חייל בשירות קבע – אין המדינה אחראית בנזיקים על מותו כתוצאה ממחלה או החמרת מחלה כאמור שהיא מחלת 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"חבלה", "חבלת שירות", "מחלה", "מחלת שירות", "שירות צבאי" ו"שירות" – כהגדרתם בחוק משפחות חיילים;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משפחות חיילים" – חוק משפחות חיילים שנספו במערכה (תגמולים ושיקום), התש"י-1950;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"חייל בשירות קבע" – חייל בשירות קבע כהגדרתו בחוק משפחות חיילים, למעט חייל כאמור המשרת בשירות קבע ברציפות לשירות החובה, כמשמעותו בסעיף 2ד לחוק האמור, במהלך התקופה האמורה באותו סעיף.</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 לענין חוקי שיקום</w:t>
                </w:r>
              </w:p>
            </w:txbxContent>
          </v:textbox>
        </v:rect>
      </w:pict>
      <w:r>
        <w:rPr>
          <w:lang w:bidi="he-IL"/>
          <w:rFonts w:hint="cs" w:cs="FrankRuehl"/>
          <w:szCs w:val="34"/>
          <w:rtl/>
        </w:rPr>
        <w:t xml:space="preserve">7א.</w:t>
      </w:r>
      <w:r>
        <w:rPr>
          <w:lang w:bidi="he-IL"/>
          <w:rFonts w:hint="cs" w:cs="FrankRuehl"/>
          <w:szCs w:val="26"/>
          <w:rtl/>
        </w:rPr>
        <w:tab/>
        <w:t xml:space="preserve">הוגשה תובענה בנזיקין נגד המדינה ונדחתה מכוח הסעיפים 6 או 7, תסתיים תקופת ההתיישנות להגשת בקשות להענקות ותגמולים לפי חוק הנכים (תגמולים ושיקום), תשי"ט-1959 [נוסח משולב], וחוק משפחות חיילים שנספו במערכה (תגמולים ושיקום), תש"י-1950, במועד הקבוע בהם או בתום ששה חדשים מיום מתן פסק דין שאין עליו ערעור עוד, הכל לפי המועד המאוחר יותר, ובלבד שהתובענה בנזיקין הוגשה לא יאוחר משנה לאחר תום תקופת ההתיישנות הקבועה באותם חוקים.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מאחריות בנזיקים שלוחי המדינה</w:t>
                </w:r>
              </w:p>
            </w:txbxContent>
          </v:textbox>
        </v:rect>
      </w:pict>
      <w:r>
        <w:rPr>
          <w:lang w:bidi="he-IL"/>
          <w:rFonts w:hint="cs" w:cs="FrankRuehl"/>
          <w:szCs w:val="34"/>
          <w:rtl/>
        </w:rPr>
        <w:t xml:space="preserve">7ב.</w:t>
        <w:tab/>
      </w:r>
      <w:r>
        <w:rPr>
          <w:lang w:bidi="he-IL"/>
          <w:rFonts w:hint="cs" w:cs="FrankRuehl"/>
          <w:szCs w:val="26"/>
          <w:rtl/>
        </w:rPr>
        <w:t xml:space="preserve">(א)</w:t>
      </w:r>
      <w:r>
        <w:rPr>
          <w:lang w:bidi="he-IL"/>
          <w:rFonts w:hint="cs" w:cs="FrankRuehl"/>
          <w:szCs w:val="26"/>
          <w:rtl/>
        </w:rPr>
        <w:tab/>
        <w:t xml:space="preserve">בנסיבות שבהן אין המדינה אחראית בנזיקים לפי אחד הסעיפים 5 עד 7, יהא פטור מאחריות כאמור גם מי שבגללו היתה המדינה אחראית בנזיקים אילולא הסעיפים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זה יחול אף לגבי מעשה או מחדל שנעשו לפני יום תחילתו, ואולם אין בו כדי לפגוע בפסק דין סופי שניתן לפני היום האמור.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המדינה לשיפוי</w:t>
                </w:r>
              </w:p>
            </w:txbxContent>
          </v:textbox>
        </v:rect>
      </w:pict>
      <w:r>
        <w:rPr>
          <w:lang w:bidi="he-IL"/>
          <w:rFonts w:hint="cs" w:cs="FrankRuehl"/>
          <w:szCs w:val="34"/>
          <w:rtl/>
        </w:rPr>
        <w:t xml:space="preserve">7ג.</w:t>
      </w:r>
      <w:r>
        <w:rPr>
          <w:lang w:bidi="he-IL"/>
          <w:rFonts w:hint="cs" w:cs="FrankRuehl"/>
          <w:szCs w:val="26"/>
          <w:rtl/>
        </w:rPr>
        <w:tab/>
        <w:t xml:space="preserve">אין בהוראות סעיף 7ב כדי לפגוע בזכותה של המדינה לשיפוי ממי שהיה חייב בו אילולא ההוראות האמורות.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נכסים מוקנים למדינה</w:t>
                </w:r>
              </w:p>
            </w:txbxContent>
          </v:textbox>
        </v:rect>
      </w:pict>
      <w:r>
        <w:rPr>
          <w:lang w:bidi="he-IL"/>
          <w:rFonts w:hint="cs" w:cs="FrankRuehl"/>
          <w:szCs w:val="34"/>
          <w:rtl/>
        </w:rPr>
        <w:t xml:space="preserve">8.</w:t>
      </w:r>
      <w:r>
        <w:rPr>
          <w:lang w:bidi="he-IL"/>
          <w:rFonts w:hint="cs" w:cs="FrankRuehl"/>
          <w:szCs w:val="26"/>
          <w:rtl/>
        </w:rPr>
        <w:tab/>
        <w:t xml:space="preserve">אין המדינה אחראית בנזיקים בתורת בעלת נכס שהוקנה לה מכוח החוק בלבד, כל עוד לא קנתה אחיזה בנכס.</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הוראות חוק מיוחדות</w:t>
                </w:r>
              </w:p>
            </w:txbxContent>
          </v:textbox>
        </v:rect>
      </w:pict>
      <w:r>
        <w:rPr>
          <w:lang w:bidi="he-IL"/>
          <w:rFonts w:hint="cs" w:cs="FrankRuehl"/>
          <w:szCs w:val="34"/>
          <w:rtl/>
        </w:rPr>
        <w:t xml:space="preserve">9.</w:t>
      </w:r>
      <w:r>
        <w:rPr>
          <w:lang w:bidi="he-IL"/>
          <w:rFonts w:hint="cs" w:cs="FrankRuehl"/>
          <w:szCs w:val="26"/>
          <w:rtl/>
        </w:rPr>
        <w:tab/>
        <w:t xml:space="preserve">האמור בחוק זה אינו פוגע בכל הוראה שבחיקוק מן החיקוקים המנויים להלן, הקובעת, המגבילה או השוללת את אחריות המדינה או מוסדותיה: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פקודת הקרקעות (סידור זכות הקנין);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פקודת בתי הדואר;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פקודת מסילות הברזל הממשלתיות, 1936;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חוק נכסי נפקדים, תש"י-1950;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חוק נכסי גרמנים, תש"י-1950;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9א.</w:t>
      </w:r>
      <w:r>
        <w:rPr>
          <w:lang w:bidi="he-IL"/>
          <w:rFonts w:hint="cs" w:cs="FrankRuehl"/>
          <w:szCs w:val="26"/>
          <w:rtl/>
        </w:rPr>
        <w:tab/>
        <w:t xml:space="preserve">אין בהוראות סעיף 5ב כדי לגרוע מכל הגנה, חסינות או פטור, הנתונה למדינת ישראל על פי כל דין.</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10.</w:t>
      </w:r>
      <w:r>
        <w:rPr>
          <w:lang w:bidi="he-IL"/>
          <w:rFonts w:hint="cs" w:cs="FrankRuehl"/>
          <w:szCs w:val="26"/>
          <w:rtl/>
        </w:rPr>
        <w:tab/>
        <w:t xml:space="preserve">סעיף 4(1) לפקודה – בטל.</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המשפטים הממשלתיים</w:t>
                </w:r>
              </w:p>
            </w:txbxContent>
          </v:textbox>
        </v:rect>
      </w:pict>
      <w:r>
        <w:rPr>
          <w:lang w:bidi="he-IL"/>
          <w:rFonts w:hint="cs" w:cs="FrankRuehl"/>
          <w:szCs w:val="34"/>
          <w:rtl/>
        </w:rPr>
        <w:t xml:space="preserve">11.</w:t>
      </w:r>
      <w:r>
        <w:rPr>
          <w:lang w:bidi="he-IL"/>
          <w:rFonts w:hint="cs" w:cs="FrankRuehl"/>
          <w:szCs w:val="26"/>
          <w:rtl/>
        </w:rPr>
        <w:tab/>
        <w:t xml:space="preserve">פקודת המשפטים הממשלתיים, תתוקן כך:</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בסעיף 3, בסעיף קטן (1)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בפסקה (ג), במקום הנקודה שבסופה יבוא פסיק ואחריו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תיווסף פסקה זו:</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"(ד)   נזיקים אזרחיים".</w:t>
      </w:r>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5ב(א))</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תביעה שעילתה נזק שנגרם לאדם כאמור בסעיף 5ב(א) בעת שהיה מצוי במשמורת של מדינת ישראל כעצור או כאסיר ואשר לאחר שהותו במשמורת לא חזר להיות פעיל או חבר בארגון מחבלים או לפעול מטעמו או בשליחותו של מי מהם.</w:t>
      </w:r>
    </w:p>
    <w:p>
      <w:pPr>
        <w:bidi/>
        <w:spacing w:before="70" w:after="5" w:line="250" w:lineRule="auto"/>
        <w:jc w:val="center"/>
      </w:pPr>
      <w:defaultTabStop w:val="720"/>
      <w:bookmarkStart w:name="h22" w:id="22"/>
      <w:bookmarkEnd w:id="22"/>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כהן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שפרינצק</w:t>
                </w:r>
              </w:p>
              <w:p>
                <w:pPr>
                  <w:bidi/>
                  <w:spacing w:before="45" w:after="3" w:line="250" w:lineRule="auto"/>
                  <w:jc w:val="center"/>
                </w:pPr>
                <w:defaultTabStop w:val="720"/>
                <w:r>
                  <w:rPr>
                    <w:lang w:bidi="he-IL"/>
                    <w:rFonts w:hint="cs" w:cs="FrankRuehl"/>
                    <w:szCs w:val="22"/>
                    <w:rtl/>
                  </w:rPr>
                  <w:t xml:space="preserve">יושב ראש הכנסת  ממלא מקום 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הנזיקים האזרחיים (אחריות המדינה), תשי"ב-1952,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d775da5b274462c" /><Relationship Type="http://schemas.openxmlformats.org/officeDocument/2006/relationships/header" Target="/word/header1.xml" Id="r97" /><Relationship Type="http://schemas.openxmlformats.org/officeDocument/2006/relationships/footer" Target="/word/footer1.xml" Id="r98" /></Relationships>
</file>