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a2615f8f5c423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אתיקה לשופטים,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 הכללים ותכליתם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השיפוט, שלטון החוק והגינות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אמונים למדינת ישראל ולחוקיה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אי-משוא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הליכותיו של שופט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שני:מעמדם ותחולתם של הכללים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הכללים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שופטים בדימוס</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שלישי:שפיטה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 הזולת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משפט</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פשרה, גישור ובוררות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מוקדמת משבת בדין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משבת בדין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רביעי:שופט וסביבתו</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קשרים חברתיים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פוליטית או מפלגתית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הבעת דעה בפומבי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כספים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חמישי:הימנעות מן השימוש במעמד השיפוטי שלא למטרתו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ניצול מעמד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מתנות, הנחות והזמנות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שישי:פעילויות לבר-שיפוטיות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א':עקרונות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פעילויות נוספות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ב':עיסוקים ציבוריים</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בגופים ציבוריים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לחלוקת פרסים ומלגות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הסברה מחוץ לישראל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שלא בבית המשפט</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ג':הרצאות ופרסומים</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במוסדות להשכלה או לחינוך</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הרצאות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ספרים ומאמרים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 מודרך</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הופעה לפני רשות ציבורית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מענה לשאלונים לצורכי מחקר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שביעי:ענינים כספיים</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א':ניהול עסקים וקבלת גמול בעבור עיסוק</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עסקים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נכסיהם של השופט ושל בני משפחה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גמול בעבור עיסוק או פעילות נוספים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ב':ניתוק קשרים עסקיים וכספיים עם מינויו של שופט</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38ב</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השניים</w:t>
                </w:r>
              </w:p>
            </w:tc>
            <w:tc>
              <w:tcPr>
                <w:tcW w:w="800" w:type="pct"/>
              </w:tcPr>
              <w:p>
                <w:pPr>
                  <w:bidi/>
                  <w:spacing w:before="45" w:after="5" w:line="250" w:lineRule="auto"/>
                </w:pPr>
                <w:defaultTabStop w:val="720"/>
                <w:r>
                  <w:rPr>
                    <w:lang w:bidi="he-IL"/>
                    <w:rFonts w:hint="cs" w:cs="Times New Roman"/>
                    <w:szCs w:val="24"/>
                    <w:rtl/>
                  </w:rPr>
                  <w:t xml:space="preserve">סעיף 38ג</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לניתוק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38ד</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ההסדר</w:t>
                </w:r>
              </w:p>
            </w:tc>
            <w:tc>
              <w:tcPr>
                <w:tcW w:w="800" w:type="pct"/>
              </w:tcPr>
              <w:p>
                <w:pPr>
                  <w:bidi/>
                  <w:spacing w:before="45" w:after="5" w:line="250" w:lineRule="auto"/>
                </w:pPr>
                <w:defaultTabStop w:val="720"/>
                <w:r>
                  <w:rPr>
                    <w:lang w:bidi="he-IL"/>
                    <w:rFonts w:hint="cs" w:cs="Times New Roman"/>
                    <w:szCs w:val="24"/>
                    <w:rtl/>
                  </w:rPr>
                  <w:t xml:space="preserve">סעיף 38ה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ההסדר</w:t>
                </w:r>
              </w:p>
            </w:tc>
            <w:tc>
              <w:tcPr>
                <w:tcW w:w="800" w:type="pct"/>
              </w:tcPr>
              <w:p>
                <w:pPr>
                  <w:bidi/>
                  <w:spacing w:before="45" w:after="5" w:line="250" w:lineRule="auto"/>
                </w:pPr>
                <w:defaultTabStop w:val="720"/>
                <w:r>
                  <w:rPr>
                    <w:lang w:bidi="he-IL"/>
                    <w:rFonts w:hint="cs" w:cs="Times New Roman"/>
                    <w:szCs w:val="24"/>
                    <w:rtl/>
                  </w:rPr>
                  <w:t xml:space="preserve">סעיף 38ו</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 תנאי להשבעה</w:t>
                </w:r>
              </w:p>
            </w:tc>
            <w:tc>
              <w:tcPr>
                <w:tcW w:w="800" w:type="pct"/>
              </w:tcPr>
              <w:p>
                <w:pPr>
                  <w:bidi/>
                  <w:spacing w:before="45" w:after="5" w:line="250" w:lineRule="auto"/>
                </w:pPr>
                <w:defaultTabStop w:val="720"/>
                <w:r>
                  <w:rPr>
                    <w:lang w:bidi="he-IL"/>
                    <w:rFonts w:hint="cs" w:cs="Times New Roman"/>
                    <w:szCs w:val="24"/>
                    <w:rtl/>
                  </w:rPr>
                  <w:t xml:space="preserve">סעיף 38ז</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38ח</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w:t>
                </w:r>
              </w:p>
            </w:tc>
            <w:tc>
              <w:tcPr>
                <w:tcW w:w="800" w:type="pct"/>
              </w:tcPr>
              <w:p>
                <w:pPr>
                  <w:bidi/>
                  <w:spacing w:before="45" w:after="5" w:line="250" w:lineRule="auto"/>
                </w:pPr>
                <w:defaultTabStop w:val="720"/>
                <w:r>
                  <w:rPr>
                    <w:lang w:bidi="he-IL"/>
                    <w:rFonts w:hint="cs" w:cs="Times New Roman"/>
                    <w:szCs w:val="24"/>
                    <w:rtl/>
                  </w:rPr>
                  <w:t xml:space="preserve">סעיף 38ט</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שמיני:שופט ואמצעי התקשורת</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מגעים בין שופט לבין אמצעי התקשורת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תגובות לאמצעי תקשורת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תשיעי:ועדת אתיקה</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קודמים</w:t>
                </w:r>
              </w:p>
            </w:tc>
            <w:tc>
              <w:tcPr>
                <w:tcW w:w="800" w:type="pct"/>
              </w:tcPr>
              <w:p>
                <w:pPr>
                  <w:bidi/>
                  <w:spacing w:before="45" w:after="5" w:line="250" w:lineRule="auto"/>
                </w:pPr>
                <w:defaultTabStop w:val="720"/>
                <w:r>
                  <w:rPr>
                    <w:lang w:bidi="he-IL"/>
                    <w:rFonts w:hint="cs" w:cs="Times New Roman"/>
                    <w:szCs w:val="24"/>
                    <w:rtl/>
                  </w:rPr>
                  <w:t xml:space="preserve">סעיף 42</w:t>
                </w:r>
              </w:p>
            </w:tc>
          </w:tr>
        </w:tbl>
        <w:br w:type="page"/>
      </w:r>
    </w:p>
    <w:p>
      <w:pPr>
        <w:bidi/>
        <w:spacing w:before="45" w:after="70" w:line="250" w:lineRule="auto"/>
        <w:jc w:val="center"/>
      </w:pPr>
      <w:defaultTabStop w:val="720"/>
      <w:r>
        <w:rPr>
          <w:lang w:bidi="he-IL"/>
          <w:rFonts w:hint="cs" w:cs="FrankRuehl"/>
          <w:szCs w:val="32"/>
          <w:rtl/>
        </w:rPr>
        <w:t xml:space="preserve">כללי אתיקה לשופטים,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16א לחוק בתי המשפט [נוסח משולב], התשמ"ד-1984, בהסכמת חבר שופטי בית המשפט העליון ולאחר התייעצות עם שר המשפטים, אני מתקינה בזה כללי אתיקה לשופטים: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f64127fad1d4f14">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ראשון:הוראות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r>
      <w:r>
        <w:rPr>
          <w:lang w:bidi="he-IL"/>
          <w:rFonts w:hint="cs" w:cs="FrankRuehl"/>
          <w:szCs w:val="26"/>
          <w:rtl/>
        </w:rPr>
        <w:tab/>
        <w:t xml:space="preserve">לענין 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מינהלי" – ערכאה המוקמת בידי שר או רשות מינהלית אחרת ויש לה סמכות שפיטה, בין אם היא מכונה בית דין, ועדת ערר או ועדת ערעור ובין אם היא מכונה בשם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בן זוג, ילד, הורה, אח, סב, הורה של בן הזוג או מי שסמוך על שולחנו של השופט, וכן, בהתאם לענין, בן זוג או ילד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דירקטור, מנהל כללי, מנהל עסקים ראשי, משנה למנהל כללי, סגן מנהל כללי, כל ממלא תפקיד כאמור בחברה אף אם תוארו שונה, וכן מנהל אחר הכפוף במישרין למנהל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המשפט העליון" – לרבות מי שנשיא בית המשפט העליון הסמיכו לדבר;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מרכזי" – עד שנדרשת הערכת מהימנותו לצורך הכרעה בהליך;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 שופט בית המשפט העליון, שופט בית משפט מחוזי, שופט בית משפט שלום, שופט בית דין לעבודה, שופט תעבורה, שופט עמית וכן רשם של בתי המשפט ששופטים אלה מכהנים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בדימוס" – שופט שכהונתו נסתיימה.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 הכללים ותכליתם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כללי האתיקה לשופטים משקפים ומבטאים תפישות עומק ערכיות ומוסריות המהוות תשתית למעשה השפיטה ולדרכי התנהגותו ואורחותיו של השופט. כללים אלה מגבשים עיקרים ועקרונות מנחים השאובים ממסורת עתיקת יומין והמתאימים עצמם לזמננו ולמקומנו. שופט ינַהֵג דרכו על פי הדין ובהתאם לכללים אלה וישווה נגד עיניו כל העת את הצורך לקיים את אמון הציבור ברשות השופטת.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ייראה כמי שהפר כלל מכללי האתיקה לשופטים באופן המאפשר הגשת קובלנה לבית הדין המשמעתי לשופטים, אם התנהגותו בניגוד לכללים עולה כדי התנהגות של שופט שלא כהלכה במילוי תפקידו או כדי התנהגות שאינה הולמת את מעמדו של שופט בישראל.</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השיפוט, שלטון החוק והגינות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כוח השיפוט ניתן בידי שופט מתוך אמון ביושרו, בכושרו המקצועי והאישי וביכולתו לקיים את המוטל עליו תוך כיבוד עקרונות האתיקה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בהכריעו בדין עושה שופט להגשמתו של שלטון החוק תוך שמירה על זכויות האדם. מחובתו של שופט לפעול ביושר ובהגינות, לשוויון הכל לפני החוק, ותוך הקפדה על התנהגות שיש בה כדי לקיים ואף להגביר את האמון בשיטת המשפט בכלל ובמעשה השפיטה בפרט.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אמונים למדינת ישראל ולחוקיה</w:t>
                </w:r>
              </w:p>
            </w:txbxContent>
          </v:textbox>
        </v:rect>
      </w:pict>
      <w:r>
        <w:rPr>
          <w:lang w:bidi="he-IL"/>
          <w:rFonts w:hint="cs" w:cs="FrankRuehl"/>
          <w:szCs w:val="34"/>
          <w:rtl/>
        </w:rPr>
        <w:t xml:space="preserve">4.</w:t>
      </w:r>
      <w:r>
        <w:rPr>
          <w:lang w:bidi="he-IL"/>
          <w:rFonts w:hint="cs" w:cs="FrankRuehl"/>
          <w:szCs w:val="26"/>
          <w:rtl/>
        </w:rPr>
        <w:tab/>
        <w:t xml:space="preserve">שופט ישמור אמונים למדינת ישראל ולחוקיה, ישפוט משפט צדק, לא יטה משפט ולא יכיר פנים.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בעניני שפיטה אין מרות על שופט זולת מרותו של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במילוי תפקידו אין שופט תלוי באיש. שומה על השופט לשקוד על אי-תלותה של מערכת השיפוט, ולהקפיד על קיומה באשר יעשה, בעניני שפיטה ובכל תחום אחר שבו הוא 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לא יגור מפני איש, ולא יושפע במילוי תפקידו על ידי דעת קהל, חשש מפני ביקורת או רצון לשאת חן.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אי-משוא פנים</w:t>
                </w:r>
              </w:p>
            </w:txbxContent>
          </v:textbox>
        </v:rect>
      </w:pict>
      <w:r>
        <w:rPr>
          <w:lang w:bidi="he-IL"/>
          <w:rFonts w:hint="cs" w:cs="FrankRuehl"/>
          <w:szCs w:val="34"/>
          <w:rtl/>
        </w:rPr>
        <w:t xml:space="preserve">6.</w:t>
      </w:r>
      <w:r>
        <w:rPr>
          <w:lang w:bidi="he-IL"/>
          <w:rFonts w:hint="cs" w:cs="FrankRuehl"/>
          <w:szCs w:val="26"/>
          <w:rtl/>
        </w:rPr>
        <w:tab/>
        <w:t xml:space="preserve">שופט ינהג בבעלי הדין בשוויון, לא יישא פני דל ולא יהדר פני גדול, לא יסביר פניו לאחד וירע פניו לאחר, ישפוט בדעה נקיה ולא יגלה דעה קדומה או משוא פנים.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הליכותיו של שופט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אלה יאפיינו שופט בתכונותיו ובאורחותיו: יושר לב, טוהר מידות ומסירות לתפקיד. שופט יימנע ממעשים שאינם הולמים מעמדו של שופט או העלולים לפגוע בדימויה של מערכת השיפוט.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יהיה מופת לכיבוד החוק בכל אשר יעשה.</w:t>
      </w:r>
    </w:p>
    <w:p>
      <w:pPr>
        <w:bidi/>
        <w:spacing w:before="70" w:after="5" w:line="250" w:lineRule="auto"/>
        <w:jc w:val="center"/>
      </w:pPr>
      <w:defaultTabStop w:val="720"/>
      <w:r>
        <w:rPr>
          <w:lang w:bidi="he-IL"/>
          <w:rFonts w:hint="cs" w:cs="FrankRuehl"/>
          <w:szCs w:val="26"/>
          <w:b/>
          <w:bCs/>
          <w:rtl/>
        </w:rPr>
        <w:t xml:space="preserve">פרק שני:מעמדם ותחולתם של הכללים</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הכללים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כללים אלה מתווים עיקרים ועקרונות להתנהגותם ולאורחותיהם של שופטים, ומהם ייגזרו כללי אתיקה ספציפיים בכל מקרה ומקרה.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הכללים באים לגרוע מן האמור בכל דין. בכל ענין שאינו נדון מפורשות בכללים ינהג שופט בהתאם לרוחם ולמגמתם של הכללים ובהתאם לנורמות אתיות כלליות.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כללים אלה חלים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מעת שהצהיר הצהרת אמונים ועד שלושה חודשים מתום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מעת מינויו ועד תום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שופט עמית;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שופט בדימוס המכהן בבית דין מינהלי ובוועדה ציבורית על פי דין, ככל שהדבר נוגע למילוי תפקידו; ויראו את הסכמתו לכהן כהסכמה להחלת כללים אלה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הכללים חלים על שופט אף בהיותו בחופשה או בשבתון.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שנבחר לכהונת שופט על ידי הוועדה לבחירת שופטים וטרם הצהיר הצהרת אמונים, לא ייצג לקוח לפני ערכאה שיפוטית אלא בהסכמת נשיא 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שופטים בדימוס</w:t>
                </w:r>
              </w:p>
            </w:txbxContent>
          </v:textbox>
        </v:rect>
      </w:pict>
      <w:r>
        <w:rPr>
          <w:lang w:bidi="he-IL"/>
          <w:rFonts w:hint="cs" w:cs="FrankRuehl"/>
          <w:szCs w:val="34"/>
          <w:rtl/>
        </w:rPr>
        <w:t xml:space="preserve">10.</w:t>
      </w:r>
      <w:r>
        <w:rPr>
          <w:lang w:bidi="he-IL"/>
          <w:rFonts w:hint="cs" w:cs="FrankRuehl"/>
          <w:szCs w:val="26"/>
          <w:rtl/>
        </w:rPr>
        <w:tab/>
        <w:t xml:space="preserve">כללים אלה אינם מחייבים שופטים בדימוס. יש לזכור עם זאת, כי סביבתו הקרובה והרחוקה של שופט הורגלה להתייחס אליו כהתייחס אל שופט, וכי יחס זה נמשך והולך גם לאחר תום הכהונה. ראוי לו אפוא לשופט בדימוס כי ישווה נגד עיניו את רוחם ואת מגמתם של הכללים וכי יכוון התנהגותו ואורחותיו על פיהם.</w:t>
      </w:r>
    </w:p>
    <w:p>
      <w:pPr>
        <w:bidi/>
        <w:spacing w:before="70" w:after="5" w:line="250" w:lineRule="auto"/>
        <w:jc w:val="center"/>
      </w:pPr>
      <w:defaultTabStop w:val="720"/>
      <w:r>
        <w:rPr>
          <w:lang w:bidi="he-IL"/>
          <w:rFonts w:hint="cs" w:cs="FrankRuehl"/>
          <w:szCs w:val="26"/>
          <w:b/>
          <w:bCs/>
          <w:rtl/>
        </w:rPr>
        <w:t xml:space="preserve">פרק שלישי:שפיטה</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 הזולת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בשבתו לדין ינהג שופט בנוכחים בדיון לפניו – בעלי דין, באי כוחם, עדים ובאי בית משפט אחרים – באורח מכובד, באורך רוח, במתינות, בסובלנות ובאדיבות, וישרה באולם בית המשפט אווירה נינוחה.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יעשה כי גם אחרים ישמרו על כבודם של הנוכחים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במהלך המשפט ובהחלטותיו בכתב יימנע שופט מהערות פוגעניות או מעליבות כלפי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ינהג בעמיתיו השופטים בכבוד ובחברות.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בהביעו דעה על אדם שלא היה צד להליכים, ייתן השופט דעתו לשאלה אם ניתנה הזדמנות לאותו אדם להציג ענינו כהלכה לפני בית המשפט.</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משפט</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שופט ינהל את הדיון שלפניו באופן מקצועי ועניני, תוך שהוא מקפיד לנהוג שוויון בבעלי הדין ובעורכי הדין המופיעים לפניו ונמנע מכל אמירה או מעשה שיש בהם כדי לפגום בחזותו האובייקטיבית והמקצועית.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שומה על שופט לשמור על חזות נייטרלית במהלך הדיון ולהימנע מליצור בהתנהגותו או בדבריו יסוד לחשש ממשי למשוא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מחובתו לנהוג שוויון בבעלי הדין, יעשה שופט כמיטבו להסביר לבעל דין שאינו מיוצג בידי עורך דין את מהות ההליכים ודרכי ניהולם, והכול על פי הניתן בנסיבות הענין ובגבולות הדין והתפקיד.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בניהול המשפט יעשה שופט כמיטבו לחוס על זמנם של המעורבים במשפט: בעלי דין, באי כוחם, עדים ואחרים, וכנדרש מכך יחיש את ההליכים וימנע עינוי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מכלליות האמור בסעיף קטן (ד), ולקיום האמור בו, יעשה שופט כמיטבו למנוע המתנה של המוזמנים לדיון והתייצבותם של עדים פעם נוספת.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פשרה, גישור ובוררות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שופט המציע פשרה או העברה של ההליך לגישור או לבוררות, לא יכפה דעתו על בעלי הדין, ויוודא שבעלי הדין יודעים כי אי-קבלת הצעתו לא תשפיע על הליכי הדיון שלפניו.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בהתנהל שיג ושיח לפשרה יסייע שופט בידי בעלי הדין, ובלבד שהדבר ייעשה תוך שמירת כבודו של בית המשפט.</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מוקדמת משבת בדין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בכפיפות לאמור בדין ובכללים אלה ידון שופט בכל ענין שהועבר לטיפולו.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משיימצא לשופט כי קיים טעם ראוי שהתיק לא יידון לפניו, יְיַדֵּעַ בכך את נשיא בית המשפט שבו הוא מכהן או שופט שהוסמך לענין זה על ידי נשיא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הנשיא של אותו בית משפט או שופט שהוסמך כאמור, כי אותו שופט ידון בתיק, לא ימנע השופט עצמו משבת בדין אלא אם כן חייב הוא לעשות כן על פי 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משבת בדין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שופט לא ישב בדין אם מצא, מיוזמתו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שופט לא ישב בדין ביודעו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השופט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לשופט ענין כספי ממשי או ענין אישי ממשי בהליך או בתוצאותיו, בצד להליך, בבא כוחו או בעד מרכזי, או שלבן משפחה של השופט יש ענין כספי ממשי או ענין אישי ממשי בהליך או בתוצאותיו, בצד להליך או בבא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לשופט היה השופט מעורב באותו ענין הנדון בהליך שלפניו בתור בא כוח, בורר, מגשר, עד, יועץ מקצועי, מומחה, או בדרך דומה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דין או עד מרכזי היה לקוחו של השופט קודם מינויו לכהונתו, ולא חלפו לפחות חמש שנים מאז הטיפול בענינו של אותו בעל דין או אותו 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 המייצג בעל דין היה שותפו של השופט ולא חלפו לפחות חמש שנים מאז היותם 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המייצג בעל דין מטפל בענין של השופט או של 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בן משפחה של השופט הוא עורך דין, שותף או שכיר, במשרד עורכי דין המייצג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שופט רשאי לשבת בדין אם מפאת דחיפות הענין לא ניתן לקיים את ההליך לפני שופט אחר ועלול להיגרם נזק חמור או עיוות דין אם לא ידון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(ב)(2), שופט רשאי לשבת בדין אם העברת הענין לכל שופט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התקיימה עילת פסלות לפי פסקאות (1) או (2) בסעיף קטן (ב), הנוגעת לעורך דין או לבא כוח אחר, שהתקיימו בו נסיבות המחייבות קבלת היתר לייצוג כאמור בסעיף 53ב לחוק לשכת עורכי הדין, התשכ"א-1961, רשאי בית המשפט להתיר את הייצוג, לבקשת עורך הדין או בא הכוח, אם מצא כי הנזק שייגרם לצד להליך אם לא יתיר את הייצוג עולה על הנזק שייגרם לצר להליך או לאינטרס הציבורי בשל הפסקת הדיון או החלפת שופט; התיר בית המשפט את הייצוג כאמור, לא ישב בדין השופט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האמור בסעיף קטן (ב) יחול גם על קרוב משפחה שאינו בן משפחה כהגדרתו בכללים אלה, אם סבר השופט כי יחסו אל אותו קרוב משפחה מונע אותו משבת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באמור בכלל זה כדי למעט משיקול דעתו של נשיא בית המשפט העליון הדן בערעור על פי סעיף 77א לחוק בתי המשפט [נוסח משולב], התשמ"ד-1984.</w:t>
      </w:r>
    </w:p>
    <w:p>
      <w:pPr>
        <w:bidi/>
        <w:spacing w:before="70" w:after="5" w:line="250" w:lineRule="auto"/>
        <w:jc w:val="center"/>
      </w:pPr>
      <w:defaultTabStop w:val="720"/>
      <w:r>
        <w:rPr>
          <w:lang w:bidi="he-IL"/>
          <w:rFonts w:hint="cs" w:cs="FrankRuehl"/>
          <w:szCs w:val="26"/>
          <w:b/>
          <w:bCs/>
          <w:rtl/>
        </w:rPr>
        <w:t xml:space="preserve">פרק רביעי:שופט וסביבתו</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קשרים חברתיים</w:t>
                </w:r>
              </w:p>
            </w:txbxContent>
          </v:textbox>
        </v:rect>
      </w:pict>
      <w:r>
        <w:rPr>
          <w:lang w:bidi="he-IL"/>
          <w:rFonts w:hint="cs" w:cs="FrankRuehl"/>
          <w:szCs w:val="34"/>
          <w:rtl/>
        </w:rPr>
        <w:t xml:space="preserve">16.</w:t>
      </w:r>
      <w:r>
        <w:rPr>
          <w:lang w:bidi="he-IL"/>
          <w:rFonts w:hint="cs" w:cs="FrankRuehl"/>
          <w:szCs w:val="26"/>
          <w:rtl/>
        </w:rPr>
        <w:tab/>
        <w:t xml:space="preserve">משמונה לכהונתו, אין מוטל על שופט לנתק את קשריו החברתיים, לרבות קשרים עם עורכי דין. עם זאת, ראוי לו לשופט כי ייזהר בקשריו החברתיים וייתן דעתו כיצד עשויות הבריות לפרש את הימצאותו בחברת אדם מסוים או בחברה מסוימת.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פוליטית או מפלגתית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שופט לא יהא מעורב בפעילות פוליטית או מפלגתית ולא יהיה חבר במפלגה או בגוף פוליטי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האיסור שבסעיף קטן (א), לא ייטול שופט חלק באירוע הנערך על ידי מפלגה או גוף פוליטי אחר, או במסגרת אחרת שלה זהות פוליטית או מפלגתית.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הבעת דעה בפומבי</w:t>
                </w:r>
              </w:p>
            </w:txbxContent>
          </v:textbox>
        </v:rect>
      </w:pict>
      <w:r>
        <w:rPr>
          <w:lang w:bidi="he-IL"/>
          <w:rFonts w:hint="cs" w:cs="FrankRuehl"/>
          <w:szCs w:val="34"/>
          <w:rtl/>
        </w:rPr>
        <w:t xml:space="preserve">18.</w:t>
      </w:r>
      <w:r>
        <w:rPr>
          <w:lang w:bidi="he-IL"/>
          <w:rFonts w:hint="cs" w:cs="FrankRuehl"/>
          <w:szCs w:val="26"/>
          <w:rtl/>
        </w:rPr>
        <w:tab/>
        <w:t xml:space="preserve">שופט יימנע מהביע בפומבי דעה בענין שאינו משפטי בעיקרו והשנוי במחלוקת ציבורית.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כספים</w:t>
                </w:r>
              </w:p>
            </w:txbxContent>
          </v:textbox>
        </v:rect>
      </w:pict>
      <w:r>
        <w:rPr>
          <w:lang w:bidi="he-IL"/>
          <w:rFonts w:hint="cs" w:cs="FrankRuehl"/>
          <w:szCs w:val="34"/>
          <w:rtl/>
        </w:rPr>
        <w:t xml:space="preserve">19.</w:t>
      </w:r>
      <w:r>
        <w:rPr>
          <w:lang w:bidi="he-IL"/>
          <w:rFonts w:hint="cs" w:cs="FrankRuehl"/>
          <w:szCs w:val="26"/>
          <w:rtl/>
        </w:rPr>
        <w:tab/>
        <w:t xml:space="preserve">שופט לא יהא מעורב בפעילות של איסוף כספים.</w:t>
      </w:r>
    </w:p>
    <w:p>
      <w:pPr>
        <w:bidi/>
        <w:spacing w:before="70" w:after="5" w:line="250" w:lineRule="auto"/>
        <w:jc w:val="center"/>
      </w:pPr>
      <w:defaultTabStop w:val="720"/>
      <w:r>
        <w:rPr>
          <w:lang w:bidi="he-IL"/>
          <w:rFonts w:hint="cs" w:cs="FrankRuehl"/>
          <w:szCs w:val="26"/>
          <w:b/>
          <w:bCs/>
          <w:rtl/>
        </w:rPr>
        <w:t xml:space="preserve">פרק חמישי:הימנעות מן השימוש במעמד השיפוטי שלא למטרתו</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ניצול מעמד</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יפיק שופט טובת הנאה ממעמדו כשופט – בין טובת הנאה חומרית בין אחרת – אם במישרין ואם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יעשה שופט שימוש במעמדו כשופט לקידום ענין שלו או של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שופט לא יציין את דבר היותו שופט ולא יעשה שימוש במסמך הנושא את תוארו כשופט בנסיבות שבהן עלול השימוש בתואר להיראות כניסיון לא ראוי להשיג מעמד מועדף.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רשאי לציין בנייר מכתבים פרטי ובכרטיס ביקור את היותו שופט ואת בית המשפט שהוא מכהן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רשאי לציין את היותו שופט בספר או במאמר שהוא מפרסם.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שופט רשאי ליתן המלצתו על כישוריו של אדם המוכר לו אישית.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מתנות, הנחות והזמנות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על קבלת מתנות על ידי שופט יחול 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לא יקבל הנחה ברכישת מוצר או בקבלת שירות, אלא אם כן ההנחה ניתנת על פי הֶסְדֵר כללי שאושר בידי מנהל בתי המשפט או שההנחה ניתנת לשופט עקב הימנותו עם הזכאים לאותה הנחה בלא זיקה להיותו שופט;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שופט לא יקבל הזמנות חינם לאירועים או למקומות שהכניסה אליהם היא בתשלום, למעט במקרים שבהם נותן ההזמנה הוא קרוב משפחה או חבר אישי או במקרים שהשופט מוזמן כבן לוויה של מקבל ההזמנה ובלא קשר למעמדו כשופט.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מניעה כי שופט יקבל במתנה ספר על נושא משפטי מכותב הספר.</w:t>
      </w:r>
    </w:p>
    <w:p>
      <w:pPr>
        <w:bidi/>
        <w:spacing w:before="70" w:after="5" w:line="250" w:lineRule="auto"/>
        <w:jc w:val="center"/>
      </w:pPr>
      <w:defaultTabStop w:val="720"/>
      <w:r>
        <w:rPr>
          <w:lang w:bidi="he-IL"/>
          <w:rFonts w:hint="cs" w:cs="FrankRuehl"/>
          <w:szCs w:val="26"/>
          <w:b/>
          <w:bCs/>
          <w:rtl/>
        </w:rPr>
        <w:t xml:space="preserve">פרק שישי:פעילויות לבר-שיפוטיות</w:t>
      </w:r>
      <w:bookmarkStart w:name="h27" w:id="27"/>
      <w:bookmarkEnd w:id="27"/>
    </w:p>
    <w:p>
      <w:pPr>
        <w:bidi/>
        <w:spacing w:before="70" w:after="5" w:line="250" w:lineRule="auto"/>
        <w:jc w:val="center"/>
      </w:pPr>
      <w:defaultTabStop w:val="720"/>
      <w:r>
        <w:rPr>
          <w:lang w:bidi="he-IL"/>
          <w:rFonts w:hint="cs" w:cs="FrankRuehl"/>
          <w:szCs w:val="26"/>
          <w:b/>
          <w:bCs/>
          <w:rtl/>
        </w:rPr>
        <w:t xml:space="preserve">סימן א':עקרונות</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22.</w:t>
      </w:r>
      <w:r>
        <w:rPr>
          <w:lang w:bidi="he-IL"/>
          <w:rFonts w:hint="cs" w:cs="FrankRuehl"/>
          <w:szCs w:val="26"/>
          <w:rtl/>
        </w:rPr>
        <w:tab/>
        <w:t xml:space="preserve">שופט לא יעסוק בעיסוק נוסף ולא ימלא תפקיד ציבורי – גם לא יקבל על עצמו אחד מאלה – אלא לפי חוק או בהסכמת נשיא בית המשפט העליון ושר המשפטים (ראו: סעיף 11 לחוק-יסוד: השפיטה).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פעילויות נוספות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חובתו העילאה של שופט היא לכהונתו כשופט, ולתפקידו כשופט חייב הוא להקדיש את מיטב מרצו ומחשבתו. שופט יעניק לתפקידו כשופט מעמד של קדימה על פני כל עיסוק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יימנע מפעילות שאינה הולמת את מעמדו כשופט או העלולה להביאו לניגוד ענינים עם תפקידו כשופט.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לא יקבל על עצמו אף לא יעסיק עצמו בפעילות לבר-שיפוטית – אף אם מותרת היא על פי אופייה או על פי היתר שהוענק לו – אם אותה פעילות עלולה לפגוע ביכולתו למלא כיאות את תפקידו כשופט, בין מבחינת משך הזמן הנדרש לפעילות, בין מבחינת העיתוי ובין מכל בחינה אחרת.</w:t>
      </w:r>
    </w:p>
    <w:p>
      <w:pPr>
        <w:bidi/>
        <w:spacing w:before="70" w:after="5" w:line="250" w:lineRule="auto"/>
        <w:jc w:val="center"/>
      </w:pPr>
      <w:defaultTabStop w:val="720"/>
      <w:r>
        <w:rPr>
          <w:lang w:bidi="he-IL"/>
          <w:rFonts w:hint="cs" w:cs="FrankRuehl"/>
          <w:szCs w:val="26"/>
          <w:b/>
          <w:bCs/>
          <w:rtl/>
        </w:rPr>
        <w:t xml:space="preserve">סימן ב':עיסוקים ציבוריים</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בגופים ציבוריים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שופט רשאי להיות חבר בגופים מינהליים של מוסדות חינוך, כגון חבר נאמנים של מוסד להשכלה, או בגופים של מוסדות בעלי מטרות ציבוריות, בכפיפות להיתר כהוראת סעיף 11 לחוק-יסוד: השפיטה.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בפעולתו כאמור בסעיף קטן (א), יימנע שופט מכל מעשה שיש בו משום שימוש שלא כהלכה במעמדו כשופט או העלול לפגוע במעמדו כשופט. כך, למשל, לא ישתתף שופט בניהול העסקי או הכספי של המוסד הציבורי שהוא פעיל בו, ולא יקבל ממנו טובת הנאה.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לא יפנה לרשויות ציבור או לגורמים פרטיים בשם גוף ציבורי שהוא פעיל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לא יהיה פעיל בגוף ציבורי העוסק בייזום הליכים משפטיים אף אם אין אותם ענינים עשויים לבוא לדיון בבית המשפט שבו הוא מכהן.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לחלוקת פרסים ומלגות</w:t>
                </w:r>
              </w:p>
            </w:txbxContent>
          </v:textbox>
        </v:rect>
      </w:pict>
      <w:r>
        <w:rPr>
          <w:lang w:bidi="he-IL"/>
          <w:rFonts w:hint="cs" w:cs="FrankRuehl"/>
          <w:szCs w:val="34"/>
          <w:rtl/>
        </w:rPr>
        <w:t xml:space="preserve">25.</w:t>
      </w:r>
      <w:r>
        <w:rPr>
          <w:lang w:bidi="he-IL"/>
          <w:rFonts w:hint="cs" w:cs="FrankRuehl"/>
          <w:szCs w:val="26"/>
          <w:rtl/>
        </w:rPr>
        <w:tab/>
        <w:t xml:space="preserve">שופט רשאי להיות חבר בוועדה המחלקת פרסים או מלגות ובלבד שהדבר הולם את מעמדו של שופט.</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הסברה מחוץ לישראל</w:t>
                </w:r>
              </w:p>
            </w:txbxContent>
          </v:textbox>
        </v:rect>
      </w:pict>
      <w:r>
        <w:rPr>
          <w:lang w:bidi="he-IL"/>
          <w:rFonts w:hint="cs" w:cs="FrankRuehl"/>
          <w:szCs w:val="34"/>
          <w:rtl/>
        </w:rPr>
        <w:t xml:space="preserve">26.</w:t>
      </w:r>
      <w:r>
        <w:rPr>
          <w:lang w:bidi="he-IL"/>
          <w:rFonts w:hint="cs" w:cs="FrankRuehl"/>
          <w:szCs w:val="26"/>
          <w:rtl/>
        </w:rPr>
        <w:tab/>
        <w:t xml:space="preserve">שופט רשאי להשתתף מדי פעם בפעם בפעולות הסברה מחוץ לישראל מטעם המדינה או מטעם גוף ממלכתי או ציבורי העושה לטובת הכלל, ובלבד שקיבל לכך אישור מאת נשיא בית המשפט העליון.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שלא בבית המשפט</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שופט לא יעסוק בתפקיד שיפוטי או מעין-שיפוטי שלא בבית המשפט, אלא מכוח הוראת חוק או בהיתר לפי סעיף 11 לחוק-יסוד: השפיטה; לענין כלל זה, "תפקיד שיפוטי או מעין-שיפוטי" – לרבות חברות בבית דין של ארגון חברים או של ארגון ציבורי, ותפקיד של פסיקה בפעולות ספורט ובמשחקים מאורגנים או ממוסדים.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לא ישמש בורר אלא אם כן נקבע הדבר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לא יהא פעיל בגוף ציבורי העוסק במתן שירותי בוררות או 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שקודם מינויו שימש בתפקיד שיפוטי או מעין-שיפוטי שאסור לשופט למלאו, לא ימשיך למלא אותו תפקיד מעת שהצהיר הצהרת אמונים.</w:t>
      </w:r>
    </w:p>
    <w:p>
      <w:pPr>
        <w:bidi/>
        <w:spacing w:before="70" w:after="5" w:line="250" w:lineRule="auto"/>
        <w:jc w:val="center"/>
      </w:pPr>
      <w:defaultTabStop w:val="720"/>
      <w:r>
        <w:rPr>
          <w:lang w:bidi="he-IL"/>
          <w:rFonts w:hint="cs" w:cs="FrankRuehl"/>
          <w:szCs w:val="26"/>
          <w:b/>
          <w:bCs/>
          <w:rtl/>
        </w:rPr>
        <w:t xml:space="preserve">סימן ג':הרצאות ופרסומים</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במוסדות להשכלה או לחינוך</w:t>
                </w:r>
              </w:p>
            </w:txbxContent>
          </v:textbox>
        </v:rect>
      </w:pict>
      <w:r>
        <w:rPr>
          <w:lang w:bidi="he-IL"/>
          <w:rFonts w:hint="cs" w:cs="FrankRuehl"/>
          <w:szCs w:val="34"/>
          <w:rtl/>
        </w:rPr>
        <w:t xml:space="preserve">28.</w:t>
      </w:r>
      <w:r>
        <w:rPr>
          <w:lang w:bidi="he-IL"/>
          <w:rFonts w:hint="cs" w:cs="FrankRuehl"/>
          <w:szCs w:val="26"/>
          <w:rtl/>
        </w:rPr>
        <w:tab/>
        <w:t xml:space="preserve">הוראה במוסדות להשכלה או לחינוך טעונה היתר כהוראת סעיף 11 לחוק-יסוד: השפיטה.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הרצאות</w:t>
                </w:r>
              </w:p>
            </w:txbxContent>
          </v:textbox>
        </v:rect>
      </w:pict>
      <w:r>
        <w:rPr>
          <w:lang w:bidi="he-IL"/>
          <w:rFonts w:hint="cs" w:cs="FrankRuehl"/>
          <w:szCs w:val="34"/>
          <w:rtl/>
        </w:rPr>
        <w:t xml:space="preserve">29.</w:t>
      </w:r>
      <w:r>
        <w:rPr>
          <w:lang w:bidi="he-IL"/>
          <w:rFonts w:hint="cs" w:cs="FrankRuehl"/>
          <w:szCs w:val="26"/>
          <w:rtl/>
        </w:rPr>
        <w:tab/>
        <w:t xml:space="preserve">שופט רשאי להרצות מדי פעם בפעם במסגרת גוף שאינו מסחרי, בלא צורך בהיתר לפי סעיף 11 לחוק-יסוד: השפיטה. בעשותו כן ינהג שופט במידת הזהירות הראויה המתחייבת ממעמדו, תוך שמירה על גישה מאוזנת והימנעות מנימה פולמוסית או מהבעת דעה בענין שאינו משפטי בעיקרו והשנוי במחלוקת ציבורית.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ספרים ומאמרים</w:t>
                </w:r>
              </w:p>
            </w:txbxContent>
          </v:textbox>
        </v:rect>
      </w:pict>
      <w:r>
        <w:rPr>
          <w:lang w:bidi="he-IL"/>
          <w:rFonts w:hint="cs" w:cs="FrankRuehl"/>
          <w:szCs w:val="34"/>
          <w:rtl/>
        </w:rPr>
        <w:t xml:space="preserve">30.</w:t>
      </w:r>
      <w:r>
        <w:rPr>
          <w:lang w:bidi="he-IL"/>
          <w:rFonts w:hint="cs" w:cs="FrankRuehl"/>
          <w:szCs w:val="26"/>
          <w:rtl/>
        </w:rPr>
        <w:tab/>
        <w:t xml:space="preserve">שופט רשאי לפרסם ספרים שכתב ומאמרים בביטאונים מקצועיים.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 מודרך</w:t>
                </w:r>
              </w:p>
            </w:txbxContent>
          </v:textbox>
        </v:rect>
      </w:pict>
      <w:r>
        <w:rPr>
          <w:lang w:bidi="he-IL"/>
          <w:rFonts w:hint="cs" w:cs="FrankRuehl"/>
          <w:szCs w:val="34"/>
          <w:rtl/>
        </w:rPr>
        <w:t xml:space="preserve">31.</w:t>
      </w:r>
      <w:r>
        <w:rPr>
          <w:lang w:bidi="he-IL"/>
          <w:rFonts w:hint="cs" w:cs="FrankRuehl"/>
          <w:szCs w:val="26"/>
          <w:rtl/>
        </w:rPr>
        <w:tab/>
        <w:t xml:space="preserve">שופט רשאי להיות חבר מותב במשפט מודרך הנערך במוסד להשכלה. הוא הדין במוסד אחר שאושר על ידי נשיא בית המשפט העליון.</w:t>
      </w:r>
    </w:p>
    <w:p>
      <w:pPr>
        <w:bidi/>
        <w:spacing w:before="70" w:after="5" w:line="250" w:lineRule="auto"/>
        <w:jc w:val="center"/>
      </w:pPr>
      <w:defaultTabStop w:val="720"/>
      <w:r>
        <w:rPr>
          <w:lang w:bidi="he-IL"/>
          <w:rFonts w:hint="cs" w:cs="FrankRuehl"/>
          <w:szCs w:val="26"/>
          <w:b/>
          <w:bCs/>
          <w:rtl/>
        </w:rPr>
        <w:t xml:space="preserve">סימן ד':שונות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w:t>
                </w:r>
              </w:p>
            </w:txbxContent>
          </v:textbox>
        </v:rect>
      </w:pict>
      <w:r>
        <w:rPr>
          <w:lang w:bidi="he-IL"/>
          <w:rFonts w:hint="cs" w:cs="FrankRuehl"/>
          <w:szCs w:val="34"/>
          <w:rtl/>
        </w:rPr>
        <w:t xml:space="preserve">32.</w:t>
      </w:r>
      <w:r>
        <w:rPr>
          <w:lang w:bidi="he-IL"/>
          <w:rFonts w:hint="cs" w:cs="FrankRuehl"/>
          <w:szCs w:val="26"/>
          <w:rtl/>
        </w:rPr>
        <w:tab/>
        <w:t xml:space="preserve">שופט לא יעיד בהליכים משפטיים אלא אם כן זומן על ידי בית המשפט או באישורו של נשיא בית המשפט העליון; כלל זה לא יחול על הליכים משפטיים שהשופט או בני משפחתו צד להם.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הופעה לפני רשות ציבורית</w:t>
                </w:r>
              </w:p>
            </w:txbxContent>
          </v:textbox>
        </v:rect>
      </w:pict>
      <w:r>
        <w:rPr>
          <w:lang w:bidi="he-IL"/>
          <w:rFonts w:hint="cs" w:cs="FrankRuehl"/>
          <w:szCs w:val="34"/>
          <w:rtl/>
        </w:rPr>
        <w:t xml:space="preserve">33.</w:t>
      </w:r>
      <w:r>
        <w:rPr>
          <w:lang w:bidi="he-IL"/>
          <w:rFonts w:hint="cs" w:cs="FrankRuehl"/>
          <w:szCs w:val="26"/>
          <w:rtl/>
        </w:rPr>
        <w:tab/>
        <w:t xml:space="preserve">שופט רשאי להופיע לפני ועדה של הכנסת או לפני רשות ציבורית אחרת אם קיבל לכך אישור מאת נשיא בית המשפט העליון.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מענה לשאלונים לצורכי מחקר</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באישורו של נשיא בית המשפט העליון רשאי שופט להשיב, בין בכתב בין על-פה, לשאלות או לשאלונים המופנים אליו לצורכי מחקר בנושאים הקשורים בעבודתו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לעת שתידון בקשה לאישור כאמור בסעיף קטן (א), יובא במנין, בין השאר, היותו של עורך המחקר מוסד אקדמי מוכר או חוקר הפועל מטעמו.</w:t>
      </w:r>
    </w:p>
    <w:p>
      <w:pPr>
        <w:bidi/>
        <w:spacing w:before="70" w:after="5" w:line="250" w:lineRule="auto"/>
        <w:jc w:val="center"/>
      </w:pPr>
      <w:defaultTabStop w:val="720"/>
      <w:r>
        <w:rPr>
          <w:lang w:bidi="he-IL"/>
          <w:rFonts w:hint="cs" w:cs="FrankRuehl"/>
          <w:szCs w:val="26"/>
          <w:b/>
          <w:bCs/>
          <w:rtl/>
        </w:rPr>
        <w:t xml:space="preserve">פרק שביעי:ענינים כספיים</w:t>
      </w:r>
      <w:bookmarkStart w:name="h45" w:id="45"/>
      <w:bookmarkEnd w:id="45"/>
    </w:p>
    <w:p>
      <w:pPr>
        <w:bidi/>
        <w:spacing w:before="70" w:after="5" w:line="250" w:lineRule="auto"/>
        <w:jc w:val="center"/>
      </w:pPr>
      <w:defaultTabStop w:val="720"/>
      <w:r>
        <w:rPr>
          <w:lang w:bidi="he-IL"/>
          <w:rFonts w:hint="cs" w:cs="FrankRuehl"/>
          <w:szCs w:val="26"/>
          <w:b/>
          <w:bCs/>
          <w:rtl/>
        </w:rPr>
        <w:t xml:space="preserve">סימן א':ניהול עסקים וקבלת גמול בעבור עיסוק</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עסקים</w:t>
                </w:r>
              </w:p>
            </w:txbxContent>
          </v:textbox>
        </v:rect>
      </w:pict>
      <w:r>
        <w:rPr>
          <w:lang w:bidi="he-IL"/>
          <w:rFonts w:hint="cs" w:cs="FrankRuehl"/>
          <w:szCs w:val="34"/>
          <w:rtl/>
        </w:rPr>
        <w:t xml:space="preserve">35.</w:t>
      </w:r>
      <w:r>
        <w:rPr>
          <w:lang w:bidi="he-IL"/>
          <w:rFonts w:hint="cs" w:cs="FrankRuehl"/>
          <w:szCs w:val="26"/>
          <w:rtl/>
        </w:rPr>
        <w:tab/>
        <w:t xml:space="preserve">שופט לא ינהל עסקים באופן פעיל, בין במישרין בין בעקיפין, ולא יכהן כנושא משרה בתאגיד מסחרי או בגוף עסקי אחר.</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נכסיהם של השופט ושל בני משפחה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שופט רשאי לנהל בעצמו את נכסיו ואת נכסי בני משפחתו, ולפעול בהשקעתם, ובלבד שלא יהיה בכך עיסוק פעיל בעסקים. השופט יימנע מפעילות כאמור העלולה לגרום לפגיעה במעמדו כשופט או להעמידו בניגוד ענינים עם תפקידו כשופט.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לא ינצל את מעמדו כשופט לצורך עסקיו ועסקי בני משפחתו.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גמול בעבור עיסוק או פעילות נוספים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שופט רשאי לקבל גמול בעבור עיסוק או פעילות נוספים המותרים על פי דין או על פי כללים אלה, ובלבד שהגמול יהא בהתאם למקובל אצל הנותן. כלל זה יחול אף על קבלת גמול בעבור פעולות הסברה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שהוזמן להרצות רשאי להתאכסן במקום ההרצאה על חשבון המזמין ואף לקבל החזר של הוצאות נסיעתו.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להסרת ספקות ייאמר כי כלל זה יחול על שופט גם בהיותו בשבתון.</w:t>
      </w:r>
    </w:p>
    <w:p>
      <w:pPr>
        <w:bidi/>
        <w:spacing w:before="70" w:after="5" w:line="250" w:lineRule="auto"/>
        <w:jc w:val="center"/>
      </w:pPr>
      <w:defaultTabStop w:val="720"/>
      <w:r>
        <w:rPr>
          <w:lang w:bidi="he-IL"/>
          <w:rFonts w:hint="cs" w:cs="FrankRuehl"/>
          <w:szCs w:val="26"/>
          <w:b/>
          <w:bCs/>
          <w:rtl/>
        </w:rPr>
        <w:t xml:space="preserve">סימן ב':ניתוק קשרים עסקיים וכספיים עם מינויו של שופט</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w:t>
                </w:r>
              </w:p>
            </w:txbxContent>
          </v:textbox>
        </v:rect>
      </w:pict>
      <w:r>
        <w:rPr>
          <w:lang w:bidi="he-IL"/>
          <w:rFonts w:hint="cs" w:cs="FrankRuehl"/>
          <w:szCs w:val="34"/>
          <w:rtl/>
        </w:rPr>
        <w:t xml:space="preserve">38א.</w:t>
      </w:r>
      <w:r>
        <w:rPr>
          <w:lang w:bidi="he-IL"/>
          <w:rFonts w:hint="cs" w:cs="FrankRuehl"/>
          <w:szCs w:val="26"/>
          <w:rtl/>
        </w:rPr>
        <w:tab/>
        <w:t xml:space="preserve">הכללים בסימן זה נועדו להסדיר את ניתוק הקשרים העסקיים והכספיים בין מי שנבחר לכהונת שפיטה לבין לקוחותיו ושותפיו לשעבר, ומטרתם להביא לכך שהקשרים העסקיים והכספיים האמורים ינותקו בהקדם האפשרי; יובהר כי כללים אלה חלים הן על ניתוק קשרים כספיים הנובעים מעיסוקו של השופט כעורך דין, והן על ניתוק קשרים כספיים הנובעים מעיסוקו של השופט בכל משלח יד אחר, לרבות ראיית חשבון, ייעוץ מס, ייעוץ כלכלי וכדומה.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יחסים כספיים</w:t>
                </w:r>
              </w:p>
            </w:txbxContent>
          </v:textbox>
        </v:rect>
      </w:pict>
      <w:r>
        <w:rPr>
          <w:lang w:bidi="he-IL"/>
          <w:rFonts w:hint="cs" w:cs="FrankRuehl"/>
          <w:szCs w:val="34"/>
          <w:rtl/>
        </w:rPr>
        <w:t xml:space="preserve">38ב.</w:t>
        <w:tab/>
      </w:r>
      <w:r>
        <w:rPr>
          <w:lang w:bidi="he-IL"/>
          <w:rFonts w:hint="cs" w:cs="FrankRuehl"/>
          <w:szCs w:val="26"/>
          <w:rtl/>
        </w:rPr>
        <w:t xml:space="preserve">(א)</w:t>
      </w:r>
      <w:r>
        <w:rPr>
          <w:lang w:bidi="he-IL"/>
          <w:rFonts w:hint="cs" w:cs="FrankRuehl"/>
          <w:szCs w:val="26"/>
          <w:rtl/>
        </w:rPr>
        <w:tab/>
        <w:t xml:space="preserve">לאחר מינויו לא יהיו לשופט יחסים כספיים עם לקוחותיו לשעבר או שותפיו לשעבר, ובכלל זה, לא יחזיק נכסים בנאמנות בעבור לקוחותיו לשעבר.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שנבחר לכהן כשופט יפעל לניתוק יחסיו עם לקוחותיו לשעבר ועם שותפיו בעבר לפי הנחיית הוועדה האמורה בסעיף 38ג והוראות סעיפים 38ד עד 38ה.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מינויו יגבה שופט כספים, שחבים לו צדדים שלישיים כתוצאה מקשריו העסקיים והכספיים בינו לבין לקוחותיו לשעבר או שותפיו לשעבר, באמצעות שותפו לשעבר בעריכת דין או באמצעות עורך דין אחר.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השניים</w:t>
                </w:r>
              </w:p>
            </w:txbxContent>
          </v:textbox>
        </v:rect>
      </w:pict>
      <w:r>
        <w:rPr>
          <w:lang w:bidi="he-IL"/>
          <w:rFonts w:hint="cs" w:cs="FrankRuehl"/>
          <w:szCs w:val="34"/>
          <w:rtl/>
        </w:rPr>
        <w:t xml:space="preserve">38ג.</w:t>
      </w:r>
      <w:r>
        <w:rPr>
          <w:lang w:bidi="he-IL"/>
          <w:rFonts w:hint="cs" w:cs="FrankRuehl"/>
          <w:szCs w:val="26"/>
          <w:rtl/>
        </w:rPr>
        <w:tab/>
        <w:t xml:space="preserve">אופן ניתוק היחסים הכספיים ידון בוועדה שבה יהיו חברים שניים: שופט בית המשפט העליון שימנה, מזמן לזמן, נשיא בית משפט העליון, ומנהל בתי המשפט (להלן – ועדת השניים).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לניתוק יחסים כספיים</w:t>
                </w:r>
              </w:p>
            </w:txbxContent>
          </v:textbox>
        </v:rect>
      </w:pict>
      <w:r>
        <w:rPr>
          <w:lang w:bidi="he-IL"/>
          <w:rFonts w:hint="cs" w:cs="FrankRuehl"/>
          <w:szCs w:val="34"/>
          <w:rtl/>
        </w:rPr>
        <w:t xml:space="preserve">38ד.</w:t>
        <w:tab/>
      </w:r>
      <w:r>
        <w:rPr>
          <w:lang w:bidi="he-IL"/>
          <w:rFonts w:hint="cs" w:cs="FrankRuehl"/>
          <w:szCs w:val="26"/>
          <w:rtl/>
        </w:rPr>
        <w:t xml:space="preserve">(א)</w:t>
      </w:r>
      <w:r>
        <w:rPr>
          <w:lang w:bidi="he-IL"/>
          <w:rFonts w:hint="cs" w:cs="FrankRuehl"/>
          <w:szCs w:val="26"/>
          <w:rtl/>
        </w:rPr>
        <w:tab/>
        <w:t xml:space="preserve">הנבחר לכהונת שופט יציג לפני ועדת השניים, לא יאוחר מ-30 ימים לאחר בחירתו תכנית מוצעת לניתוק היחסים הכספיים; התכנית תכלול,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שותפיו של השופט עובר למינויו;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לקוחותיו לשעבר שיש לו אתם יחסים כספיים תלויים ועומדים;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 טרחה וסכומים אחרים המגיעים לשופט מלקוחותיו ושותפיו לשעבר, ומועדי תשלומם, וכן פירוט של המחאות דחויות שנמסרו לו על חשבון שכר טרחתו ואשר מועד פירעונן טרם הגיע.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השניים תורה לנבחר לכהונת שפיטה מהם התנאים לניתוק היחסים בינו לבין לקוחותיו או שותפיו לשעבר; הוועדה תורה על הסדר שיביא לניתוק היחסים כאמור בהקדם האפשרי ולא יאוחר מתום שנים עשר חודשים מיום השבעת השופט; הוועדה רשאית לקבוע תקופת ניתוק ארוכה משנים עשר חודשים מטעמים מיוחדים שייראו לחבריה.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ההסדר</w:t>
                </w:r>
              </w:p>
            </w:txbxContent>
          </v:textbox>
        </v:rect>
      </w:pict>
      <w:r>
        <w:rPr>
          <w:lang w:bidi="he-IL"/>
          <w:rFonts w:hint="cs" w:cs="FrankRuehl"/>
          <w:szCs w:val="34"/>
          <w:rtl/>
        </w:rPr>
        <w:t xml:space="preserve">38ה.</w:t>
      </w:r>
      <w:r>
        <w:rPr>
          <w:lang w:bidi="he-IL"/>
          <w:rFonts w:hint="cs" w:cs="FrankRuehl"/>
          <w:szCs w:val="26"/>
          <w:rtl/>
        </w:rPr>
        <w:tab/>
        <w:t xml:space="preserve">הסדר ניתוק היחסים שהורתה עליו ועדת השניים ייחתם ביד הנבחר לכהונת שפיטה ויישמר בכספת מנהל בתי המשפט.</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ההסדר</w:t>
                </w:r>
              </w:p>
            </w:txbxContent>
          </v:textbox>
        </v:rect>
      </w:pict>
      <w:r>
        <w:rPr>
          <w:lang w:bidi="he-IL"/>
          <w:rFonts w:hint="cs" w:cs="FrankRuehl"/>
          <w:szCs w:val="34"/>
          <w:rtl/>
        </w:rPr>
        <w:t xml:space="preserve">38ו.</w:t>
      </w:r>
      <w:r>
        <w:rPr>
          <w:lang w:bidi="he-IL"/>
          <w:rFonts w:hint="cs" w:cs="FrankRuehl"/>
          <w:szCs w:val="26"/>
          <w:rtl/>
        </w:rPr>
        <w:tab/>
        <w:t xml:space="preserve">תוכן ההסדר יהיה גלוי לנבחר לכהונת שפיטה ולחברי ועדת השניים, ובמקרה שהוגשה כנגד הנבחר לכהונת שפיטה תלונה לוועדה לבחירת שופטים, גם לחברי הוועדה לבחירת שופטים.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 תנאי להשבעה</w:t>
                </w:r>
              </w:p>
            </w:txbxContent>
          </v:textbox>
        </v:rect>
      </w:pict>
      <w:r>
        <w:rPr>
          <w:lang w:bidi="he-IL"/>
          <w:rFonts w:hint="cs" w:cs="FrankRuehl"/>
          <w:szCs w:val="34"/>
          <w:rtl/>
        </w:rPr>
        <w:t xml:space="preserve">38ז.</w:t>
      </w:r>
      <w:r>
        <w:rPr>
          <w:lang w:bidi="he-IL"/>
          <w:rFonts w:hint="cs" w:cs="FrankRuehl"/>
          <w:szCs w:val="26"/>
          <w:rtl/>
        </w:rPr>
        <w:tab/>
        <w:t xml:space="preserve">מי שנבחר לכהונת שפיטה לא יוזמן להשבעה אצל נשיא המדינה עד אשר ייערך הסדר ניתוק יחסים כספיים, וייחתם בידו; במקרים חריגים רשאית ועדת השניים לאשר בכתב זימונו של שופט להשבעה אף שטרם חתם על ההסדר.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38ח.</w:t>
      </w:r>
      <w:r>
        <w:rPr>
          <w:lang w:bidi="he-IL"/>
          <w:rFonts w:hint="cs" w:cs="FrankRuehl"/>
          <w:szCs w:val="26"/>
          <w:rtl/>
        </w:rPr>
        <w:tab/>
        <w:t xml:space="preserve">השופט ידווח למנהל בתי המשפט, אחת לשלושה חודשים, על ביצוע ההסדר; בעניין כספים שיקבל השופט על פי ההסדר לאחר מינויו, ייתן השופט חשבונית שעליה יצוין כי הכספים התקבלו בעד שירותים שנתן טרם מינויו.</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w:t>
                </w:r>
              </w:p>
            </w:txbxContent>
          </v:textbox>
        </v:rect>
      </w:pict>
      <w:r>
        <w:rPr>
          <w:lang w:bidi="he-IL"/>
          <w:rFonts w:hint="cs" w:cs="FrankRuehl"/>
          <w:szCs w:val="34"/>
          <w:rtl/>
        </w:rPr>
        <w:t xml:space="preserve">38ט.</w:t>
      </w:r>
      <w:r>
        <w:rPr>
          <w:lang w:bidi="he-IL"/>
          <w:rFonts w:hint="cs" w:cs="FrankRuehl"/>
          <w:szCs w:val="26"/>
          <w:rtl/>
        </w:rPr>
        <w:tab/>
        <w:t xml:space="preserve">הכללים בסימן זה יובאו לידיעת כל מי שהוועדה לבחירת שופטים החליטה לבחור בו לכהונת שפיטה.</w:t>
      </w:r>
    </w:p>
    <w:p>
      <w:pPr>
        <w:bidi/>
        <w:spacing w:before="70" w:after="5" w:line="250" w:lineRule="auto"/>
        <w:jc w:val="center"/>
      </w:pPr>
      <w:defaultTabStop w:val="720"/>
      <w:r>
        <w:rPr>
          <w:lang w:bidi="he-IL"/>
          <w:rFonts w:hint="cs" w:cs="FrankRuehl"/>
          <w:szCs w:val="26"/>
          <w:b/>
          <w:bCs/>
          <w:rtl/>
        </w:rPr>
        <w:t xml:space="preserve">פרק שמיני:שופט ואמצעי התקשורת</w:t>
      </w:r>
      <w:bookmarkStart w:name="h61" w:id="61"/>
      <w:bookmarkEnd w:id="61"/>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מגעים בין שופט לבין אמצעי התקשורת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שופט אומר דברו בפסקי דין ובהחלטות. על דרך הכלל אין שופט מתראיין ואין הוא מוסר מידע לתקשורת.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לא יעביר פסקי דין והחלטות לתקשורת אלא באמצעות דוברות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יימנע מהופעה או מריאיון באמצעי התקשורת. הופעה או ריאיון של שופט באמצעי תקשורת – לרבות בעיתונות, ברדיו, בטלוויזיה, באינטרנט, במסיבת עיתונאים ובכל דרך אחרת – תהיה רק באישור מראש מאת נשיא 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בכלל זה אינו חל על ביטאונים משפטיים המתפרסמים על ידי מוסדות אקדמיים או על ידי לשכת עורכי הדין, ובלבד שהשופט קיבל תחילה את אישורו של נשיא בית המשפט העליון.</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תגובות לאמצעי תקשורת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תגובתו של שופט על דברים שפורסמו עליו או על פסקי דין והחלטות שנתן תהיה באמצעות דוברות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שעיתונאי פנה אליו לקבלת תגובה יפנה את העיתונאי לדוברות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נתבקשה תגובתו של שופט על מידע שהעדר תגובה מיידית עליו עלול לגרום נזק שאינו הפיך, ובפי השופט תגובה חד-משמעית שיש בה כדי להביא את הענין לסיומו, רשאי השופט למסור תגובתו.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שמסר תגובתו בנסיבות כמתואר בסעיף קטן (ג), יודיע על כך מיד לדוברות בתי המשפט, והמשך הטיפול יהיה באמצעות הדוברות.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אלה כדי למנוע את נציגות השופטים לעמוד בקשר עם אמצעי התקשורת בענינים הנתונים לטיפולה.</w:t>
      </w:r>
    </w:p>
    <w:p>
      <w:pPr>
        <w:bidi/>
        <w:spacing w:before="70" w:after="5" w:line="250" w:lineRule="auto"/>
        <w:jc w:val="center"/>
      </w:pPr>
      <w:defaultTabStop w:val="720"/>
      <w:r>
        <w:rPr>
          <w:lang w:bidi="he-IL"/>
          <w:rFonts w:hint="cs" w:cs="FrankRuehl"/>
          <w:szCs w:val="26"/>
          <w:b/>
          <w:bCs/>
          <w:rtl/>
        </w:rPr>
        <w:t xml:space="preserve">פרק תשיעי:ועדת אתיקה</w:t>
      </w:r>
      <w:bookmarkStart w:name="h64" w:id="64"/>
      <w:bookmarkEnd w:id="64"/>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נשיא בית המשפט העליון, לאחר התייעצות עם שר המשפטים, ימנה ועדת אתיקה בת שלושה חברים, והם: שופט של בית המשפט העליון, והוא יהיה היושב ראש, ושני שופטים של בתי המשפט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בעניני אתיקה של שופטים, לפי פנייה של שופט או רשם שכללים אלה חלים עליו – בענין הנוגע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האתיקה ימונה לתקופה אחת של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האתיקה תקבע את נוהלי עבודתה וסדרי דיוניה.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קודמים</w:t>
                </w:r>
              </w:p>
            </w:txbxContent>
          </v:textbox>
        </v:rect>
      </w:pict>
      <w:r>
        <w:rPr>
          <w:lang w:bidi="he-IL"/>
          <w:rFonts w:hint="cs" w:cs="FrankRuehl"/>
          <w:szCs w:val="34"/>
          <w:rtl/>
        </w:rPr>
        <w:t xml:space="preserve">42.</w:t>
      </w:r>
      <w:r>
        <w:rPr>
          <w:lang w:bidi="he-IL"/>
          <w:rFonts w:hint="cs" w:cs="FrankRuehl"/>
          <w:szCs w:val="26"/>
          <w:rtl/>
        </w:rPr>
        <w:tab/>
        <w:t xml:space="preserve">כללים אלה יהיו תחת כללי אתיקה שיפוטית, התשנ"ג-1993.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דורית ביניש</w:t>
                </w:r>
              </w:p>
              <w:p>
                <w:pPr>
                  <w:bidi/>
                  <w:spacing w:before="45" w:after="3" w:line="250" w:lineRule="auto"/>
                  <w:jc w:val="center"/>
                </w:pPr>
                <w:defaultTabStop w:val="720"/>
                <w:r>
                  <w:rPr>
                    <w:lang w:bidi="he-IL"/>
                    <w:rFonts w:hint="cs" w:cs="FrankRuehl"/>
                    <w:szCs w:val="22"/>
                    <w:rtl/>
                  </w:rPr>
                  <w:t xml:space="preserve">נשיאת בית המשפט העליון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אתיקה לשופטים,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93503a5485142bc" /><Relationship Type="http://schemas.openxmlformats.org/officeDocument/2006/relationships/hyperlink" Target="https://www.nevo.co.il/laws/#/6121e76e24c87a1d3be92384/clause/6121e80024c87a1d3be92391" TargetMode="External" Id="R1f64127fad1d4f14" /><Relationship Type="http://schemas.openxmlformats.org/officeDocument/2006/relationships/header" Target="/word/header1.xml" Id="r97" /><Relationship Type="http://schemas.openxmlformats.org/officeDocument/2006/relationships/footer" Target="/word/footer1.xml" Id="r98" /></Relationships>
</file>